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9"/>
        <w:numPr>
          <w:ilvl w:val="0"/>
          <w:numId w:val="48"/>
        </w:numPr>
      </w:pPr>
      <w:r w:rsidRPr="00F276B3">
        <w:t>Insert answers into the blank, white cells provided.</w:t>
      </w:r>
    </w:p>
    <w:p w14:paraId="4AB13ACC" w14:textId="37246AC2" w:rsidR="00E63AC5" w:rsidRDefault="00E63AC5" w:rsidP="007A24F7">
      <w:pPr>
        <w:pStyle w:val="a9"/>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9"/>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9"/>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11"/>
        <w:tabs>
          <w:tab w:val="right" w:leader="dot" w:pos="10456"/>
        </w:tabs>
        <w:rPr>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3B2B37">
      <w:pPr>
        <w:pStyle w:val="11"/>
        <w:tabs>
          <w:tab w:val="right" w:leader="dot" w:pos="10456"/>
        </w:tabs>
        <w:rPr>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3B2B37">
      <w:pPr>
        <w:pStyle w:val="25"/>
        <w:tabs>
          <w:tab w:val="right" w:leader="dot" w:pos="10456"/>
        </w:tabs>
        <w:rPr>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3B2B37">
      <w:pPr>
        <w:pStyle w:val="25"/>
        <w:tabs>
          <w:tab w:val="right" w:leader="dot" w:pos="10456"/>
        </w:tabs>
        <w:rPr>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3B2B37">
      <w:pPr>
        <w:pStyle w:val="25"/>
        <w:tabs>
          <w:tab w:val="right" w:leader="dot" w:pos="10456"/>
        </w:tabs>
        <w:rPr>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3B2B37">
      <w:pPr>
        <w:pStyle w:val="11"/>
        <w:tabs>
          <w:tab w:val="right" w:leader="dot" w:pos="10456"/>
        </w:tabs>
        <w:rPr>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3B2B37">
      <w:pPr>
        <w:pStyle w:val="25"/>
        <w:tabs>
          <w:tab w:val="right" w:leader="dot" w:pos="10456"/>
        </w:tabs>
        <w:rPr>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3B2B37">
      <w:pPr>
        <w:pStyle w:val="25"/>
        <w:tabs>
          <w:tab w:val="right" w:leader="dot" w:pos="10456"/>
        </w:tabs>
        <w:rPr>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3B2B37">
      <w:pPr>
        <w:pStyle w:val="25"/>
        <w:tabs>
          <w:tab w:val="right" w:leader="dot" w:pos="10456"/>
        </w:tabs>
        <w:rPr>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3B2B37">
      <w:pPr>
        <w:pStyle w:val="25"/>
        <w:tabs>
          <w:tab w:val="right" w:leader="dot" w:pos="10456"/>
        </w:tabs>
        <w:rPr>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3B2B37">
      <w:pPr>
        <w:pStyle w:val="25"/>
        <w:tabs>
          <w:tab w:val="right" w:leader="dot" w:pos="10456"/>
        </w:tabs>
        <w:rPr>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3B2B37">
      <w:pPr>
        <w:pStyle w:val="25"/>
        <w:tabs>
          <w:tab w:val="right" w:leader="dot" w:pos="10456"/>
        </w:tabs>
        <w:rPr>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3B2B37">
      <w:pPr>
        <w:pStyle w:val="11"/>
        <w:tabs>
          <w:tab w:val="right" w:leader="dot" w:pos="10456"/>
        </w:tabs>
        <w:rPr>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3B2B37">
      <w:pPr>
        <w:pStyle w:val="25"/>
        <w:tabs>
          <w:tab w:val="right" w:leader="dot" w:pos="10456"/>
        </w:tabs>
        <w:rPr>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3B2B37">
      <w:pPr>
        <w:pStyle w:val="25"/>
        <w:tabs>
          <w:tab w:val="right" w:leader="dot" w:pos="10456"/>
        </w:tabs>
        <w:rPr>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3B2B37">
      <w:pPr>
        <w:pStyle w:val="25"/>
        <w:tabs>
          <w:tab w:val="right" w:leader="dot" w:pos="10456"/>
        </w:tabs>
        <w:rPr>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3B2B37">
      <w:pPr>
        <w:pStyle w:val="25"/>
        <w:tabs>
          <w:tab w:val="right" w:leader="dot" w:pos="10456"/>
        </w:tabs>
        <w:rPr>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3B2B37">
      <w:pPr>
        <w:pStyle w:val="25"/>
        <w:tabs>
          <w:tab w:val="right" w:leader="dot" w:pos="10456"/>
        </w:tabs>
        <w:rPr>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3B2B37">
      <w:pPr>
        <w:pStyle w:val="25"/>
        <w:tabs>
          <w:tab w:val="right" w:leader="dot" w:pos="10456"/>
        </w:tabs>
        <w:rPr>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3B2B37">
      <w:pPr>
        <w:pStyle w:val="25"/>
        <w:tabs>
          <w:tab w:val="right" w:leader="dot" w:pos="10456"/>
        </w:tabs>
        <w:rPr>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3B2B37">
      <w:pPr>
        <w:pStyle w:val="25"/>
        <w:tabs>
          <w:tab w:val="right" w:leader="dot" w:pos="10456"/>
        </w:tabs>
        <w:rPr>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3B2B37">
      <w:pPr>
        <w:pStyle w:val="25"/>
        <w:tabs>
          <w:tab w:val="right" w:leader="dot" w:pos="10456"/>
        </w:tabs>
        <w:rPr>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3B2B37">
      <w:pPr>
        <w:pStyle w:val="11"/>
        <w:tabs>
          <w:tab w:val="right" w:leader="dot" w:pos="10456"/>
        </w:tabs>
        <w:rPr>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3B2B37">
      <w:pPr>
        <w:pStyle w:val="25"/>
        <w:tabs>
          <w:tab w:val="right" w:leader="dot" w:pos="10456"/>
        </w:tabs>
        <w:rPr>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3B2B37">
      <w:pPr>
        <w:pStyle w:val="25"/>
        <w:tabs>
          <w:tab w:val="right" w:leader="dot" w:pos="10456"/>
        </w:tabs>
        <w:rPr>
          <w:noProof/>
          <w:lang w:eastAsia="en-GB"/>
        </w:rPr>
      </w:pPr>
      <w:hyperlink w:anchor="_Toc198223624" w:history="1">
        <w:r w:rsidR="00DD3144" w:rsidRPr="004B5035">
          <w:rPr>
            <w:rStyle w:val="ab"/>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3B2B37">
      <w:pPr>
        <w:pStyle w:val="25"/>
        <w:tabs>
          <w:tab w:val="right" w:leader="dot" w:pos="10456"/>
        </w:tabs>
        <w:rPr>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3B2B37">
      <w:pPr>
        <w:pStyle w:val="25"/>
        <w:tabs>
          <w:tab w:val="right" w:leader="dot" w:pos="10456"/>
        </w:tabs>
        <w:rPr>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3B2B37">
      <w:pPr>
        <w:pStyle w:val="31"/>
        <w:tabs>
          <w:tab w:val="right" w:leader="dot" w:pos="10456"/>
        </w:tabs>
        <w:rPr>
          <w:noProof/>
          <w:lang w:eastAsia="en-GB"/>
        </w:rPr>
      </w:pPr>
      <w:hyperlink w:anchor="_Toc198223627" w:history="1">
        <w:r w:rsidR="00DD3144" w:rsidRPr="004B5035">
          <w:rPr>
            <w:rStyle w:val="ab"/>
            <w:noProof/>
          </w:rPr>
          <w:t>Section 4.4.1: Criteria for Carbon Credits Generation and/or Eligibility</w:t>
        </w:r>
        <w:r w:rsidR="00DD3144" w:rsidRPr="004B5035">
          <w:rPr>
            <w:rStyle w:val="ab"/>
            <w:noProof/>
            <w:lang w:val="en-US"/>
          </w:rPr>
          <w:t> </w:t>
        </w:r>
        <w:r w:rsidR="00DD3144" w:rsidRPr="004B5035">
          <w:rPr>
            <w:rStyle w:val="ab"/>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3B2B37">
      <w:pPr>
        <w:pStyle w:val="31"/>
        <w:tabs>
          <w:tab w:val="right" w:leader="dot" w:pos="10456"/>
        </w:tabs>
        <w:rPr>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3B2B37">
      <w:pPr>
        <w:pStyle w:val="31"/>
        <w:tabs>
          <w:tab w:val="right" w:leader="dot" w:pos="10456"/>
        </w:tabs>
        <w:rPr>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3B2B37">
      <w:pPr>
        <w:pStyle w:val="31"/>
        <w:tabs>
          <w:tab w:val="right" w:leader="dot" w:pos="10456"/>
        </w:tabs>
        <w:rPr>
          <w:noProof/>
          <w:lang w:eastAsia="en-GB"/>
        </w:rPr>
      </w:pPr>
      <w:hyperlink w:anchor="_Toc198223630" w:history="1">
        <w:r w:rsidR="00DD3144" w:rsidRPr="004B5035">
          <w:rPr>
            <w:rStyle w:val="ab"/>
            <w:rFonts w:eastAsia="Times New Roman"/>
            <w:noProof/>
            <w:lang w:eastAsia="en-GB"/>
          </w:rPr>
          <w:t xml:space="preserve">Section </w:t>
        </w:r>
        <w:r w:rsidR="00DD3144" w:rsidRPr="004B5035">
          <w:rPr>
            <w:rStyle w:val="ab"/>
            <w:noProof/>
            <w:lang w:eastAsia="en-GB"/>
          </w:rPr>
          <w:t>4</w:t>
        </w:r>
        <w:r w:rsidR="00DD3144" w:rsidRPr="004B5035">
          <w:rPr>
            <w:rStyle w:val="ab"/>
            <w:rFonts w:eastAsia="Times New Roman"/>
            <w:noProof/>
            <w:lang w:eastAsia="en-GB"/>
          </w:rPr>
          <w:t>.4.4: Exchange of Carbon Credits as a Financial Instrument</w:t>
        </w:r>
        <w:r w:rsidR="00DD3144" w:rsidRPr="004B5035">
          <w:rPr>
            <w:rStyle w:val="ab"/>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3B2B37">
      <w:pPr>
        <w:pStyle w:val="11"/>
        <w:tabs>
          <w:tab w:val="right" w:leader="dot" w:pos="10456"/>
        </w:tabs>
        <w:rPr>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3B2B37">
      <w:pPr>
        <w:pStyle w:val="25"/>
        <w:tabs>
          <w:tab w:val="right" w:leader="dot" w:pos="10456"/>
        </w:tabs>
        <w:rPr>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3B2B37">
      <w:pPr>
        <w:pStyle w:val="25"/>
        <w:tabs>
          <w:tab w:val="right" w:leader="dot" w:pos="10456"/>
        </w:tabs>
        <w:rPr>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3B2B37">
      <w:pPr>
        <w:pStyle w:val="31"/>
        <w:tabs>
          <w:tab w:val="right" w:leader="dot" w:pos="10456"/>
        </w:tabs>
        <w:rPr>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3B2B37">
      <w:pPr>
        <w:pStyle w:val="31"/>
        <w:tabs>
          <w:tab w:val="right" w:leader="dot" w:pos="10456"/>
        </w:tabs>
        <w:rPr>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3B2B37">
      <w:pPr>
        <w:pStyle w:val="31"/>
        <w:tabs>
          <w:tab w:val="right" w:leader="dot" w:pos="10456"/>
        </w:tabs>
        <w:rPr>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3B2B37">
      <w:pPr>
        <w:pStyle w:val="25"/>
        <w:tabs>
          <w:tab w:val="right" w:leader="dot" w:pos="10456"/>
        </w:tabs>
        <w:rPr>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3B2B37">
      <w:pPr>
        <w:pStyle w:val="11"/>
        <w:tabs>
          <w:tab w:val="right" w:leader="dot" w:pos="10456"/>
        </w:tabs>
        <w:rPr>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3B2B37">
      <w:pPr>
        <w:pStyle w:val="25"/>
        <w:tabs>
          <w:tab w:val="right" w:leader="dot" w:pos="10456"/>
        </w:tabs>
        <w:rPr>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3B2B37">
      <w:pPr>
        <w:pStyle w:val="25"/>
        <w:tabs>
          <w:tab w:val="right" w:leader="dot" w:pos="10456"/>
        </w:tabs>
        <w:rPr>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3B2B37">
      <w:pPr>
        <w:pStyle w:val="25"/>
        <w:tabs>
          <w:tab w:val="right" w:leader="dot" w:pos="10456"/>
        </w:tabs>
        <w:rPr>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3B2B37">
      <w:pPr>
        <w:pStyle w:val="25"/>
        <w:tabs>
          <w:tab w:val="right" w:leader="dot" w:pos="10456"/>
        </w:tabs>
        <w:rPr>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3B2B37">
      <w:pPr>
        <w:pStyle w:val="31"/>
        <w:tabs>
          <w:tab w:val="right" w:leader="dot" w:pos="10456"/>
        </w:tabs>
        <w:rPr>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3B2B37">
      <w:pPr>
        <w:pStyle w:val="31"/>
        <w:tabs>
          <w:tab w:val="right" w:leader="dot" w:pos="10456"/>
        </w:tabs>
        <w:rPr>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3B2B37">
      <w:pPr>
        <w:pStyle w:val="31"/>
        <w:tabs>
          <w:tab w:val="right" w:leader="dot" w:pos="10456"/>
        </w:tabs>
        <w:rPr>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3B2B37">
      <w:pPr>
        <w:pStyle w:val="25"/>
        <w:tabs>
          <w:tab w:val="right" w:leader="dot" w:pos="10456"/>
        </w:tabs>
        <w:rPr>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25"/>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FDD99B3" w:rsidR="00093CA9" w:rsidRDefault="00AF3905" w:rsidP="00093CA9">
            <w:pPr>
              <w:rPr>
                <w:lang w:eastAsia="ja-JP"/>
              </w:rPr>
            </w:pPr>
            <w:r w:rsidRPr="00AF3905">
              <w:t>Anderson Mori</w:t>
            </w:r>
            <w:r w:rsidR="00E925FE">
              <w:rPr>
                <w:rFonts w:hint="eastAsia"/>
                <w:lang w:eastAsia="ja-JP"/>
              </w:rPr>
              <w:t xml:space="preserve"> &amp; Tomotsune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C7A8C16" w:rsidR="00093CA9" w:rsidRDefault="00AF3905" w:rsidP="00093CA9">
            <w:r>
              <w:t>Japan</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10"/>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F31C46D" w:rsidR="00093CA9" w:rsidRDefault="00FC12E5" w:rsidP="00093CA9">
            <w:r w:rsidRPr="00FC12E5">
              <w:t>Transition Finance Follow-up Guidance ~ Guidance for an effective dialogue with fundraisers ~ (</w:t>
            </w:r>
            <w:r w:rsidRPr="00FC12E5">
              <w:rPr>
                <w:rFonts w:ascii="ＭＳ ゴシック" w:eastAsia="ＭＳ ゴシック" w:hAnsi="ＭＳ ゴシック" w:cs="ＭＳ ゴシック" w:hint="eastAsia"/>
              </w:rPr>
              <w:t>トランジション・ファイナンスにかかるフォローアップガイダンス</w:t>
            </w:r>
            <w:r w:rsidRPr="00FC12E5">
              <w:t xml:space="preserve"> ~ </w:t>
            </w:r>
            <w:r w:rsidRPr="00FC12E5">
              <w:rPr>
                <w:rFonts w:ascii="ＭＳ ゴシック" w:eastAsia="ＭＳ ゴシック" w:hAnsi="ＭＳ ゴシック" w:cs="ＭＳ ゴシック" w:hint="eastAsia"/>
              </w:rPr>
              <w:t>資金調達者とのより良い対話に向けて</w:t>
            </w:r>
            <w:r w:rsidRPr="00FC12E5">
              <w:t xml:space="preserve"> ~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BB62965" w:rsidR="00093CA9" w:rsidRDefault="003B2B37" w:rsidP="00093CA9">
            <w:hyperlink r:id="rId17" w:history="1">
              <w:r w:rsidR="00402117">
                <w:rPr>
                  <w:rStyle w:val="ab"/>
                </w:rPr>
                <w:t>https://www.fsa.go.jp/singi/transition_finance/siryou/20230616/04.pdf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25C57FD4"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3498023" w:rsidR="00093CA9" w:rsidRDefault="00FC12E5"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9183C4D"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47002A3"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5E10FBE"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059E725A" w:rsidR="00093CA9" w:rsidRDefault="00402117" w:rsidP="00093CA9">
            <w:r w:rsidRPr="00402117">
              <w:t>The Transition Finance Follow-up Guidance is a policy tool developed by Japanese government agencies to enhance the credibility and effectiveness of transition finance, which supports companies in decarbonising in line with long-term carbon neutrality goals. Its core purpose is to facilitate ongoing, structured dialogue between fundraisers and financiers after funding is provided, enabling regular review of progress, adaptation to changes in the business environment, and support for the steady execution of transition strategies—particularly in hard-to-abate sectors. The guidance provides practical frameworks for engagement, sector-specific considerations, and reporting, ensuring that transition finance is a dynamic, transparent process that drives real-world emissions reductions and aligns with science-based pathways towards net zero.</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A1187F1" w:rsidR="00093CA9" w:rsidRDefault="00FD0439"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05F56D1" w:rsidR="00093CA9" w:rsidRPr="00173D7C" w:rsidRDefault="00FD0439"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773706C" w:rsidR="00093CA9" w:rsidRDefault="00C10934" w:rsidP="00093CA9">
            <w:pPr>
              <w:rPr>
                <w:lang w:eastAsia="ja-JP"/>
              </w:rPr>
            </w:pPr>
            <w:r>
              <w:rPr>
                <w:rFonts w:hint="eastAsia"/>
                <w:lang w:eastAsia="ja-JP"/>
              </w:rPr>
              <w:t xml:space="preserve">Governmental agencies </w:t>
            </w:r>
            <w:r w:rsidR="00C94D4E">
              <w:rPr>
                <w:rFonts w:hint="eastAsia"/>
                <w:lang w:eastAsia="ja-JP"/>
              </w:rPr>
              <w:t>(</w:t>
            </w:r>
            <w:r w:rsidR="00FD0439">
              <w:t xml:space="preserve">Financial Services Agency (FSA), Ministry of Economy, Trade and Industry </w:t>
            </w:r>
            <w:r>
              <w:rPr>
                <w:rFonts w:hint="eastAsia"/>
                <w:lang w:eastAsia="ja-JP"/>
              </w:rPr>
              <w:t xml:space="preserve">(METI) </w:t>
            </w:r>
            <w:r w:rsidR="00FD0439">
              <w:t>and Ministry of Environment</w:t>
            </w:r>
            <w:r>
              <w:rPr>
                <w:rFonts w:hint="eastAsia"/>
                <w:lang w:eastAsia="ja-JP"/>
              </w:rPr>
              <w:t xml:space="preserve"> (MOE)</w:t>
            </w:r>
            <w:r w:rsidR="00C94D4E">
              <w:rPr>
                <w:rFonts w:hint="eastAsia"/>
                <w:lang w:eastAsia="ja-JP"/>
              </w:rP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712217B" w:rsidR="00093CA9" w:rsidRPr="006B7B0D" w:rsidRDefault="00FD0439" w:rsidP="00093CA9">
            <w:pPr>
              <w:rPr>
                <w:lang w:eastAsia="ja-JP"/>
              </w:rPr>
            </w:pPr>
            <w:r>
              <w:rPr>
                <w:kern w:val="0"/>
                <w14:ligatures w14:val="none"/>
              </w:rPr>
              <w:t>Financial Services Agency (FSA)</w:t>
            </w:r>
            <w:r w:rsidR="00AD12F1" w:rsidDel="00AD12F1">
              <w:rPr>
                <w:kern w:val="0"/>
                <w14:ligatures w14:val="none"/>
              </w:rPr>
              <w:t xml:space="preserve">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2C051F7E" w:rsidR="00093CA9" w:rsidRPr="006B7B0D" w:rsidRDefault="00AD12F1" w:rsidP="00093CA9">
            <w:pPr>
              <w:rPr>
                <w:lang w:eastAsia="ja-JP"/>
              </w:rPr>
            </w:pPr>
            <w:r>
              <w:rPr>
                <w:rFonts w:hint="eastAsia"/>
                <w:lang w:eastAsia="ja-JP"/>
              </w:rPr>
              <w:t>X</w:t>
            </w:r>
          </w:p>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D9B455F" w:rsidR="00093CA9" w:rsidRPr="006B7B0D" w:rsidRDefault="00093CA9" w:rsidP="00093CA9">
            <w:pPr>
              <w:rPr>
                <w:lang w:eastAsia="ja-JP"/>
              </w:rPr>
            </w:pP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B03DD39" w:rsidR="00093CA9" w:rsidRPr="006B7B0D" w:rsidRDefault="00AD12F1" w:rsidP="00093CA9">
            <w:r w:rsidRPr="00AD12F1">
              <w:t>Ministry of Economy, Trade and Industry (ME</w:t>
            </w:r>
            <w:r w:rsidR="008E62E4">
              <w:rPr>
                <w:rFonts w:hint="eastAsia"/>
                <w:lang w:eastAsia="ja-JP"/>
              </w:rPr>
              <w:t>T</w:t>
            </w:r>
            <w:r w:rsidRPr="00AD12F1">
              <w:t>I)</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52AFA759" w:rsidR="00093CA9" w:rsidRPr="006B7B0D" w:rsidRDefault="00AD12F1" w:rsidP="00093CA9">
            <w:pPr>
              <w:rPr>
                <w:lang w:eastAsia="ja-JP"/>
              </w:rPr>
            </w:pPr>
            <w:r>
              <w:rPr>
                <w:rFonts w:hint="eastAsia"/>
                <w:lang w:eastAsia="ja-JP"/>
              </w:rPr>
              <w:t>X</w:t>
            </w:r>
          </w:p>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273CB8A3" w:rsidR="00093CA9" w:rsidRPr="006B7B0D" w:rsidRDefault="00AD12F1" w:rsidP="00093CA9">
            <w:r w:rsidRPr="00AD12F1">
              <w:t>Ministry of Environment (MOE)</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103E9D14" w:rsidR="00093CA9" w:rsidRPr="006B7B0D" w:rsidRDefault="00AD12F1" w:rsidP="00093CA9">
            <w:pPr>
              <w:rPr>
                <w:lang w:eastAsia="ja-JP"/>
              </w:rPr>
            </w:pPr>
            <w:r>
              <w:rPr>
                <w:rFonts w:hint="eastAsia"/>
                <w:lang w:eastAsia="ja-JP"/>
              </w:rPr>
              <w:t>X</w:t>
            </w:r>
          </w:p>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D4E1901" w:rsidR="00093CA9" w:rsidRPr="000749FE" w:rsidRDefault="000749FE" w:rsidP="000749FE">
            <w:pPr>
              <w:rPr>
                <w:lang w:eastAsia="ja-JP"/>
              </w:rPr>
            </w:pPr>
            <w:r>
              <w:t xml:space="preserve">This </w:t>
            </w:r>
            <w:r>
              <w:rPr>
                <w:rFonts w:hint="eastAsia"/>
                <w:lang w:eastAsia="ja-JP"/>
              </w:rPr>
              <w:t>guidance</w:t>
            </w:r>
            <w:r>
              <w:t xml:space="preserve"> aims to facilitate initiatives aligned with fundraisers' decarbonization strategies through a follow-up activity by financiers and provide practical guidance for practitioners on the basic concepts and key points of post</w:t>
            </w:r>
            <w:r>
              <w:rPr>
                <w:rFonts w:hint="eastAsia"/>
                <w:lang w:eastAsia="ja-JP"/>
              </w:rPr>
              <w:t>-</w:t>
            </w:r>
            <w:r>
              <w:t>funding follow-up. Specifically, it provides information on the practices and key points to consider when reviewing strategies, goals, and progress of target projects related to transition finance</w:t>
            </w:r>
            <w:r>
              <w:rPr>
                <w:rFonts w:hint="eastAsia"/>
                <w:lang w:eastAsia="ja-JP"/>
              </w:rPr>
              <w:t xml:space="preserve"> (</w:t>
            </w:r>
            <w:r>
              <w:rPr>
                <w:lang w:eastAsia="ja-JP"/>
              </w:rPr>
              <w:t>“</w:t>
            </w:r>
            <w:r>
              <w:rPr>
                <w:rFonts w:hint="eastAsia"/>
                <w:lang w:eastAsia="ja-JP"/>
              </w:rPr>
              <w:t>1. Purpose and expectations</w:t>
            </w:r>
            <w:r>
              <w:rPr>
                <w:lang w:eastAsia="ja-JP"/>
              </w:rPr>
              <w:t>”</w:t>
            </w:r>
            <w:r>
              <w:rPr>
                <w:rFonts w:hint="eastAsia"/>
                <w:lang w:eastAsia="ja-JP"/>
              </w:rPr>
              <w:t xml:space="preserve"> of Introduction)</w:t>
            </w:r>
            <w:r>
              <w:t>.</w:t>
            </w:r>
            <w:r>
              <w:rPr>
                <w:rFonts w:hint="eastAsia"/>
                <w:lang w:eastAsia="ja-JP"/>
              </w:rPr>
              <w:t xml:space="preserve"> Due to this characteristic, the authorities mentioned above will not be expected to enforce the points described in </w:t>
            </w:r>
            <w:r>
              <w:rPr>
                <w:lang w:eastAsia="ja-JP"/>
              </w:rPr>
              <w:t>the</w:t>
            </w:r>
            <w:r>
              <w:rPr>
                <w:rFonts w:hint="eastAsia"/>
                <w:lang w:eastAsia="ja-JP"/>
              </w:rPr>
              <w:t xml:space="preserve"> guidance.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487C6B67" w:rsidR="00093CA9" w:rsidRDefault="00AD12F1" w:rsidP="00093CA9">
            <w:pPr>
              <w:rPr>
                <w:lang w:eastAsia="ja-JP"/>
              </w:rPr>
            </w:pPr>
            <w:r>
              <w:rPr>
                <w:rFonts w:hint="eastAsia"/>
                <w:lang w:eastAsia="ja-JP"/>
              </w:rP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1"/>
      </w:pPr>
      <w:r>
        <w:br w:type="page"/>
      </w:r>
      <w:bookmarkStart w:id="1" w:name="_Toc198223601"/>
      <w:r w:rsidR="00A40404">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FC12E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2"/>
      </w:pPr>
      <w:bookmarkStart w:id="4" w:name="_Toc198223603"/>
      <w:r>
        <w:t>Section 1.2: What is being disclosed?</w:t>
      </w:r>
      <w:bookmarkEnd w:id="4"/>
    </w:p>
    <w:tbl>
      <w:tblPr>
        <w:tblStyle w:val="a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6" w:name="_Toc198223605"/>
      <w:r>
        <w:t>Domain 2: Transition Planning</w:t>
      </w:r>
      <w:bookmarkEnd w:id="6"/>
    </w:p>
    <w:p w14:paraId="0CA57B64" w14:textId="2923536F" w:rsidR="00F41EE0" w:rsidRDefault="005E50FD" w:rsidP="00F41EE0">
      <w:pPr>
        <w:pStyle w:val="2"/>
      </w:pPr>
      <w:bookmarkStart w:id="7" w:name="_Toc198223606"/>
      <w:r>
        <w:t xml:space="preserve">Section 2.1: </w:t>
      </w:r>
      <w:r w:rsidR="00F41EE0">
        <w:t>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51DB2959" w:rsidR="00C4670C" w:rsidRPr="00C37D48" w:rsidRDefault="00FD0439"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5FCE122C" w:rsidR="00C4670C" w:rsidRPr="00C37D48" w:rsidRDefault="00FD0439"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F9C0FD3" w:rsidR="00C4670C" w:rsidRPr="00C37D48" w:rsidRDefault="00FD0439" w:rsidP="00C37D48">
            <w:pPr>
              <w:rPr>
                <w:rFonts w:ascii="Calibri" w:hAnsi="Calibri" w:cs="Calibri"/>
              </w:rPr>
            </w:pPr>
            <w:r>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21181CCC" w:rsidR="00C4670C" w:rsidRPr="00C37D48" w:rsidRDefault="00FD0439"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35157D6D" w:rsidR="00C4670C" w:rsidRPr="00C37D48" w:rsidRDefault="00FD0439" w:rsidP="00C37D48">
            <w:pPr>
              <w:rPr>
                <w:rFonts w:ascii="Calibri" w:hAnsi="Calibri" w:cs="Calibri"/>
              </w:rPr>
            </w:pPr>
            <w:r>
              <w:rPr>
                <w:rFonts w:ascii="Calibri" w:hAnsi="Calibri" w:cs="Calibri"/>
              </w:rPr>
              <w:t>X</w:t>
            </w: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147984BC" w:rsidR="00C4670C" w:rsidRPr="00C37D48" w:rsidRDefault="00FD0439"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14E5D460" w:rsidR="00C4670C" w:rsidRPr="00C37D48" w:rsidRDefault="00FD0439"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50112391" w:rsidR="00C4670C" w:rsidRPr="00C37D48" w:rsidRDefault="00FD0439"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3C8E5076" w:rsidR="00C4670C" w:rsidRPr="00C37D48" w:rsidRDefault="00FD0439"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3AB19017" w:rsidR="00C4670C" w:rsidRPr="00C37D48" w:rsidRDefault="00FD0439"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48F1984C" w:rsidR="00C4670C" w:rsidRPr="00C37D48" w:rsidRDefault="00FD0439"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6C828F" w:rsidR="00C4670C" w:rsidRPr="00C37D48" w:rsidRDefault="00FD0439"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6C7EFFC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4CDB7F10" w:rsidR="004F276F" w:rsidRPr="00C37D48" w:rsidRDefault="00FD0439" w:rsidP="00C37D48">
            <w:pPr>
              <w:rPr>
                <w:rFonts w:ascii="Calibri" w:hAnsi="Calibri" w:cs="Calibri"/>
              </w:rPr>
            </w:pPr>
            <w:r>
              <w:rPr>
                <w:rFonts w:ascii="Calibri" w:hAnsi="Calibri" w:cs="Calibri"/>
              </w:rPr>
              <w:t>X</w:t>
            </w: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1BA66A5F" w:rsidR="004F276F" w:rsidRPr="00C37D48" w:rsidRDefault="00FD0439" w:rsidP="00C37D48">
            <w:pPr>
              <w:rPr>
                <w:rFonts w:ascii="Calibri" w:hAnsi="Calibri" w:cs="Calibri"/>
              </w:rPr>
            </w:pPr>
            <w:r>
              <w:rPr>
                <w:rFonts w:ascii="Calibri" w:hAnsi="Calibri" w:cs="Calibri"/>
              </w:rPr>
              <w:t>X</w:t>
            </w: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5A4B8505" w:rsidR="004F276F" w:rsidRPr="00C37D48" w:rsidRDefault="00FD0439" w:rsidP="00C37D48">
            <w:pPr>
              <w:rPr>
                <w:rFonts w:ascii="Calibri" w:hAnsi="Calibri" w:cs="Calibri"/>
              </w:rPr>
            </w:pPr>
            <w:r>
              <w:rPr>
                <w:rFonts w:ascii="Calibri" w:hAnsi="Calibri" w:cs="Calibri"/>
              </w:rPr>
              <w:t>X</w:t>
            </w: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1E3AE7BC" w:rsidR="004F276F" w:rsidRPr="00C37D48" w:rsidRDefault="00FD0439" w:rsidP="00C37D48">
            <w:pPr>
              <w:rPr>
                <w:rFonts w:ascii="Calibri" w:hAnsi="Calibri" w:cs="Calibri"/>
              </w:rPr>
            </w:pPr>
            <w:r>
              <w:rPr>
                <w:rFonts w:ascii="Calibri" w:hAnsi="Calibri" w:cs="Calibri"/>
              </w:rPr>
              <w:t>X</w:t>
            </w: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54D8E5BF" w:rsidR="004F276F" w:rsidRPr="00C37D48" w:rsidRDefault="00FD0439" w:rsidP="00C37D48">
            <w:pPr>
              <w:rPr>
                <w:rFonts w:ascii="Calibri" w:hAnsi="Calibri" w:cs="Calibri"/>
              </w:rPr>
            </w:pPr>
            <w:r>
              <w:rPr>
                <w:rFonts w:ascii="Calibri" w:hAnsi="Calibri" w:cs="Calibri"/>
              </w:rPr>
              <w:t>X</w:t>
            </w: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65D9DA3C" w:rsidR="004F276F" w:rsidRPr="00C37D48" w:rsidRDefault="00FD0439" w:rsidP="008E62E4">
            <w:pPr>
              <w:rPr>
                <w:rFonts w:ascii="Calibri" w:hAnsi="Calibri" w:cs="Calibri"/>
              </w:rPr>
            </w:pPr>
            <w:r>
              <w:rPr>
                <w:rFonts w:ascii="Calibri" w:hAnsi="Calibri" w:cs="Calibri"/>
              </w:rPr>
              <w:t>While the document does not provide a single page with an explicit list, the inclusive language throughout—especially in the introduction (p. 3), the discussion of sectoral characteristics (pp. 20–25), and the general references to "companies" and "fundraisers"—makes clear that the guidance is intended for all types of entities involved in transition finance, including publicly-traded entities, private companies, state-owned companies, small and medium-sized enterprises, and sectoral actors.</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FC12E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10DCC432" w:rsidR="004F276F" w:rsidRPr="00C37D48" w:rsidRDefault="00FD0439"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169521C3" w:rsidR="001F30DE" w:rsidRPr="00C37D48" w:rsidRDefault="00FD0439"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349C113" w:rsidR="001F30DE" w:rsidRPr="00FD0439" w:rsidRDefault="00FD0439" w:rsidP="00C37D48">
            <w:r>
              <w:rPr>
                <w:rFonts w:ascii="Calibri" w:hAnsi="Calibri" w:cs="Calibri"/>
              </w:rPr>
              <w:t>There is clear evidence that the voluntary policy tool outlined in the "Transition Finance Follow-up Guidance" is being implemented through market initiatives, funding allocation, the development of sectoral roadmaps, and the active engagement of financial institutions in follow-up activities.</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6F80D821" w:rsidR="001F30DE" w:rsidRPr="00C37D48" w:rsidRDefault="00FD0439"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8" w:name="_Toc198223607"/>
      <w:r>
        <w:t xml:space="preserve">Section 2.2: </w:t>
      </w:r>
      <w:r w:rsidR="00F41EE0">
        <w:t>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4AA3905" w:rsidR="004F48E8" w:rsidRPr="00C37D48" w:rsidRDefault="005F5DAC" w:rsidP="00C37D48">
            <w:pPr>
              <w:rPr>
                <w:rFonts w:ascii="Calibri" w:hAnsi="Calibri" w:cs="Calibri"/>
              </w:rPr>
            </w:pPr>
            <w:r>
              <w:rPr>
                <w:rFonts w:ascii="Calibri" w:hAnsi="Calibri" w:cs="Calibri"/>
              </w:rPr>
              <w:t>X</w:t>
            </w: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 w:name="_Toc198223608"/>
      <w:r>
        <w:t xml:space="preserve">Section 2.3: </w:t>
      </w:r>
      <w:r w:rsidR="00F41EE0">
        <w:t>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5C80A995" w:rsidR="000A1365" w:rsidRPr="00C37D48" w:rsidRDefault="005F5DAC"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5038ACF5" w:rsidR="00D27551" w:rsidRPr="00C37D48" w:rsidRDefault="00C10934" w:rsidP="00C37D48">
            <w:pPr>
              <w:rPr>
                <w:rFonts w:ascii="Calibri" w:hAnsi="Calibri" w:cs="Calibri"/>
              </w:rPr>
            </w:pPr>
            <w:r>
              <w:rPr>
                <w:rFonts w:ascii="Calibri" w:hAnsi="Calibri" w:cs="Calibri" w:hint="eastAsia"/>
                <w:lang w:eastAsia="ja-JP"/>
              </w:rPr>
              <w:t>No</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09410894" w:rsidR="00850F36" w:rsidRPr="00C37D48" w:rsidRDefault="005F5DAC" w:rsidP="00C37D48">
            <w:pPr>
              <w:rPr>
                <w:rFonts w:ascii="Calibri" w:hAnsi="Calibri" w:cs="Calibri"/>
              </w:rPr>
            </w:pPr>
            <w:r>
              <w:rPr>
                <w:rFonts w:ascii="Calibri" w:hAnsi="Calibri" w:cs="Calibri"/>
              </w:rPr>
              <w:t>X</w:t>
            </w: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1EF2CC17" w:rsidR="00850F36" w:rsidRPr="00C37D48" w:rsidRDefault="005F5DAC" w:rsidP="00C37D48">
            <w:pPr>
              <w:rPr>
                <w:rFonts w:ascii="Calibri" w:hAnsi="Calibri" w:cs="Calibri"/>
              </w:rPr>
            </w:pPr>
            <w:r>
              <w:rPr>
                <w:rFonts w:ascii="Calibri" w:hAnsi="Calibri" w:cs="Calibri"/>
              </w:rPr>
              <w:t>X</w:t>
            </w: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01487C93" w:rsidR="00850F36" w:rsidRPr="00C37D48" w:rsidRDefault="005F5DAC" w:rsidP="00C37D48">
            <w:pPr>
              <w:rPr>
                <w:rFonts w:ascii="Calibri" w:hAnsi="Calibri" w:cs="Calibri"/>
              </w:rPr>
            </w:pPr>
            <w:r>
              <w:rPr>
                <w:rFonts w:ascii="Calibri" w:hAnsi="Calibri" w:cs="Calibri"/>
              </w:rPr>
              <w:t>X</w:t>
            </w: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2F55952C" w:rsidR="00850F36" w:rsidRPr="00C37D48" w:rsidRDefault="005F5DAC" w:rsidP="00C37D48">
            <w:pPr>
              <w:rPr>
                <w:rFonts w:ascii="Calibri" w:hAnsi="Calibri" w:cs="Calibri"/>
              </w:rPr>
            </w:pPr>
            <w:r>
              <w:rPr>
                <w:rFonts w:ascii="Calibri" w:hAnsi="Calibri" w:cs="Calibri"/>
              </w:rPr>
              <w:t>X</w:t>
            </w: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153BB9DA" w:rsidR="00850F36" w:rsidRPr="00C37D48" w:rsidRDefault="005F5DAC" w:rsidP="00C37D48">
            <w:pPr>
              <w:rPr>
                <w:rFonts w:ascii="Calibri" w:hAnsi="Calibri" w:cs="Calibri"/>
              </w:rPr>
            </w:pPr>
            <w:r>
              <w:rPr>
                <w:rFonts w:ascii="Calibri" w:hAnsi="Calibri" w:cs="Calibri"/>
              </w:rPr>
              <w:t>X</w:t>
            </w: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26228457" w:rsidR="00850F36" w:rsidRPr="00C37D48" w:rsidRDefault="005F5DAC" w:rsidP="00C37D48">
            <w:pPr>
              <w:rPr>
                <w:rFonts w:ascii="Calibri" w:hAnsi="Calibri" w:cs="Calibri"/>
              </w:rPr>
            </w:pPr>
            <w:r>
              <w:rPr>
                <w:rFonts w:ascii="Calibri" w:hAnsi="Calibri" w:cs="Calibri"/>
              </w:rPr>
              <w:t>X</w:t>
            </w: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61918184" w:rsidR="00850F36" w:rsidRPr="00C37D48" w:rsidRDefault="005F5DAC" w:rsidP="00C37D48">
            <w:pPr>
              <w:rPr>
                <w:rFonts w:ascii="Calibri" w:hAnsi="Calibri" w:cs="Calibri"/>
              </w:rPr>
            </w:pPr>
            <w:r>
              <w:rPr>
                <w:rFonts w:ascii="Calibri" w:hAnsi="Calibri" w:cs="Calibri"/>
              </w:rPr>
              <w:t>X</w:t>
            </w: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1ABD0C67" w:rsidR="00850F36" w:rsidRPr="00C37D48" w:rsidRDefault="005F5DAC" w:rsidP="00C37D48">
            <w:pPr>
              <w:rPr>
                <w:rFonts w:ascii="Calibri" w:hAnsi="Calibri" w:cs="Calibri"/>
              </w:rPr>
            </w:pPr>
            <w:r>
              <w:rPr>
                <w:rFonts w:ascii="Calibri" w:hAnsi="Calibri" w:cs="Calibri"/>
              </w:rPr>
              <w:t>X</w:t>
            </w: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638C5C47" w:rsidR="00850F36" w:rsidRPr="00C37D48" w:rsidRDefault="005F5DAC" w:rsidP="00C37D48">
            <w:pPr>
              <w:rPr>
                <w:rFonts w:ascii="Calibri" w:hAnsi="Calibri" w:cs="Calibri"/>
              </w:rPr>
            </w:pPr>
            <w:r>
              <w:rPr>
                <w:rFonts w:ascii="Calibri" w:hAnsi="Calibri" w:cs="Calibri"/>
              </w:rPr>
              <w:t>X</w:t>
            </w: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54DFC0BC" w:rsidR="00850F36" w:rsidRPr="00C37D48" w:rsidRDefault="005F5DAC"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26F1C205" w:rsidR="00850F36" w:rsidRPr="00C37D48" w:rsidRDefault="005F5DAC"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23ACF0F7" w:rsidR="00850F36" w:rsidRPr="00C37D48" w:rsidRDefault="005F5DAC"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C739C7C"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380DE282" w14:textId="77777777" w:rsidR="00D9431B" w:rsidRDefault="005F5DAC" w:rsidP="005F5DAC">
            <w:pPr>
              <w:pStyle w:val="a9"/>
              <w:numPr>
                <w:ilvl w:val="0"/>
                <w:numId w:val="49"/>
              </w:numPr>
              <w:rPr>
                <w:rFonts w:ascii="Calibri" w:hAnsi="Calibri" w:cs="Calibri"/>
              </w:rPr>
            </w:pPr>
            <w:r w:rsidRPr="005F5DAC">
              <w:rPr>
                <w:rFonts w:ascii="Calibri" w:hAnsi="Calibri" w:cs="Calibri"/>
              </w:rPr>
              <w:t>An absolute emissions reductions target</w:t>
            </w:r>
            <w:r>
              <w:rPr>
                <w:rFonts w:ascii="Calibri" w:hAnsi="Calibri" w:cs="Calibri"/>
              </w:rPr>
              <w:t xml:space="preserve">: </w:t>
            </w:r>
            <w:r w:rsidRPr="005F5DAC">
              <w:rPr>
                <w:rFonts w:ascii="Calibri" w:hAnsi="Calibri" w:cs="Calibri"/>
              </w:rPr>
              <w:t>Entities are recommended to set science-based absolute GHG reduction targets as part of their transition strategy. (Chapter 2, Section 2; Appendix 1)</w:t>
            </w:r>
            <w:r>
              <w:rPr>
                <w:rFonts w:ascii="Calibri" w:hAnsi="Calibri" w:cs="Calibri"/>
              </w:rPr>
              <w:t>.</w:t>
            </w:r>
          </w:p>
          <w:p w14:paraId="30ED436B" w14:textId="77777777" w:rsidR="005F5DAC" w:rsidRDefault="005F5DAC" w:rsidP="005F5DAC">
            <w:pPr>
              <w:pStyle w:val="a9"/>
              <w:numPr>
                <w:ilvl w:val="0"/>
                <w:numId w:val="49"/>
              </w:numPr>
              <w:rPr>
                <w:rFonts w:ascii="Calibri" w:hAnsi="Calibri" w:cs="Calibri"/>
              </w:rPr>
            </w:pPr>
            <w:r>
              <w:rPr>
                <w:rFonts w:ascii="Calibri" w:hAnsi="Calibri" w:cs="Calibri"/>
              </w:rPr>
              <w:t xml:space="preserve">An intensity-based </w:t>
            </w:r>
            <w:r w:rsidRPr="005F5DAC">
              <w:rPr>
                <w:rFonts w:ascii="Calibri" w:hAnsi="Calibri" w:cs="Calibri"/>
              </w:rPr>
              <w:t>emissions reductions</w:t>
            </w:r>
            <w:r>
              <w:rPr>
                <w:rFonts w:ascii="Calibri" w:hAnsi="Calibri" w:cs="Calibri"/>
              </w:rPr>
              <w:t xml:space="preserve"> target: </w:t>
            </w:r>
            <w:r w:rsidRPr="005F5DAC">
              <w:rPr>
                <w:rFonts w:ascii="Calibri" w:hAnsi="Calibri" w:cs="Calibri"/>
              </w:rPr>
              <w:t>Intensity-based targets are also recommended, especially where appropriate for sector or business model. (Chapter 2, Section 2; Appendix 1)</w:t>
            </w:r>
            <w:r>
              <w:rPr>
                <w:rFonts w:ascii="Calibri" w:hAnsi="Calibri" w:cs="Calibri"/>
              </w:rPr>
              <w:t xml:space="preserve">. </w:t>
            </w:r>
          </w:p>
          <w:p w14:paraId="3F8D3E58" w14:textId="7EEBA386" w:rsidR="005F5DAC" w:rsidRPr="005F5DAC" w:rsidRDefault="005F5DAC" w:rsidP="005F5DAC">
            <w:pPr>
              <w:pStyle w:val="a9"/>
              <w:numPr>
                <w:ilvl w:val="0"/>
                <w:numId w:val="49"/>
              </w:numPr>
              <w:rPr>
                <w:rFonts w:ascii="Calibri" w:hAnsi="Calibri" w:cs="Calibri"/>
              </w:rPr>
            </w:pPr>
            <w:r w:rsidRPr="005F5DAC">
              <w:rPr>
                <w:rFonts w:ascii="Calibri" w:hAnsi="Calibri" w:cs="Calibri"/>
              </w:rPr>
              <w:t>A net zero target: Setting a target year for achieving carbon neutrality (net zero) is recommended, in line with national/international goals. (Preface; Chapter 1, Section 2; Chapter 2, Section 2)</w:t>
            </w:r>
          </w:p>
          <w:p w14:paraId="40033B01" w14:textId="77777777" w:rsidR="005F5DAC" w:rsidRDefault="005F5DAC" w:rsidP="005F5DAC">
            <w:pPr>
              <w:pStyle w:val="a9"/>
              <w:numPr>
                <w:ilvl w:val="0"/>
                <w:numId w:val="49"/>
              </w:numPr>
              <w:rPr>
                <w:rFonts w:ascii="Calibri" w:hAnsi="Calibri" w:cs="Calibri"/>
              </w:rPr>
            </w:pPr>
            <w:r w:rsidRPr="005F5DAC">
              <w:rPr>
                <w:rFonts w:ascii="Calibri" w:hAnsi="Calibri" w:cs="Calibri"/>
              </w:rPr>
              <w:t>Targets covering non-carbon GHG emissions</w:t>
            </w:r>
            <w:r>
              <w:rPr>
                <w:rFonts w:ascii="Calibri" w:hAnsi="Calibri" w:cs="Calibri"/>
              </w:rPr>
              <w:t xml:space="preserve">: </w:t>
            </w:r>
            <w:r w:rsidRPr="005F5DAC">
              <w:rPr>
                <w:rFonts w:ascii="Calibri" w:hAnsi="Calibri" w:cs="Calibri"/>
              </w:rPr>
              <w:t>Targets should cover all GHGs, not just CO2, as part of comprehensive decarbonisation. (Chapter 2, Section 2; Appendix 1)</w:t>
            </w:r>
            <w:r>
              <w:rPr>
                <w:rFonts w:ascii="Calibri" w:hAnsi="Calibri" w:cs="Calibri"/>
              </w:rPr>
              <w:t>.</w:t>
            </w:r>
          </w:p>
          <w:p w14:paraId="7087D34B" w14:textId="77777777" w:rsidR="005F5DAC" w:rsidRDefault="005F5DAC" w:rsidP="005F5DAC">
            <w:pPr>
              <w:pStyle w:val="a9"/>
              <w:numPr>
                <w:ilvl w:val="0"/>
                <w:numId w:val="49"/>
              </w:numPr>
              <w:rPr>
                <w:rFonts w:ascii="Calibri" w:hAnsi="Calibri" w:cs="Calibri"/>
              </w:rPr>
            </w:pPr>
            <w:r>
              <w:rPr>
                <w:rFonts w:ascii="Calibri" w:hAnsi="Calibri" w:cs="Calibri"/>
              </w:rPr>
              <w:t xml:space="preserve">A </w:t>
            </w:r>
            <w:r w:rsidRPr="005F5DAC">
              <w:rPr>
                <w:rFonts w:ascii="Calibri" w:hAnsi="Calibri" w:cs="Calibri"/>
              </w:rPr>
              <w:t>Scope 3 emissions</w:t>
            </w:r>
            <w:r>
              <w:rPr>
                <w:rFonts w:ascii="Calibri" w:hAnsi="Calibri" w:cs="Calibri"/>
              </w:rPr>
              <w:t xml:space="preserve"> target: </w:t>
            </w:r>
            <w:r w:rsidRPr="005F5DAC">
              <w:rPr>
                <w:rFonts w:ascii="Calibri" w:hAnsi="Calibri" w:cs="Calibri"/>
              </w:rPr>
              <w:t>Scope 3 targets are recommended, especially for sectors where these are material (e.g., automotive, oil). (Appendix 3, sector summaries; Chapter 2, Section 3)</w:t>
            </w:r>
            <w:r>
              <w:rPr>
                <w:rFonts w:ascii="Calibri" w:hAnsi="Calibri" w:cs="Calibri"/>
              </w:rPr>
              <w:t>.</w:t>
            </w:r>
          </w:p>
          <w:p w14:paraId="7BF59C17" w14:textId="77777777" w:rsidR="005F5DAC" w:rsidRDefault="005F5DAC" w:rsidP="005F5DAC">
            <w:pPr>
              <w:pStyle w:val="a9"/>
              <w:numPr>
                <w:ilvl w:val="0"/>
                <w:numId w:val="49"/>
              </w:numPr>
            </w:pPr>
            <w:r w:rsidRPr="005F5DAC">
              <w:rPr>
                <w:rFonts w:ascii="Calibri" w:hAnsi="Calibri" w:cs="Calibri"/>
              </w:rPr>
              <w:t>A target derived using a sectoral decarbonisation approach: Targets should reference sector-specific technology roadmaps and decarbonisation pathways. (Chapter 2, Section 2; Appendix 3).</w:t>
            </w:r>
          </w:p>
          <w:p w14:paraId="34811CE9" w14:textId="77777777" w:rsidR="00DF2368" w:rsidRDefault="005F5DAC" w:rsidP="00DF2368">
            <w:pPr>
              <w:pStyle w:val="a9"/>
              <w:numPr>
                <w:ilvl w:val="0"/>
                <w:numId w:val="49"/>
              </w:numPr>
              <w:rPr>
                <w:rFonts w:ascii="Calibri" w:hAnsi="Calibri" w:cs="Calibri"/>
              </w:rPr>
            </w:pPr>
            <w:r>
              <w:rPr>
                <w:rFonts w:ascii="Calibri" w:hAnsi="Calibri" w:cs="Calibri"/>
              </w:rPr>
              <w:t xml:space="preserve">Targets for renewable energy procurement: </w:t>
            </w:r>
            <w:r w:rsidRPr="005F5DAC">
              <w:rPr>
                <w:rFonts w:ascii="Calibri" w:hAnsi="Calibri" w:cs="Calibri"/>
              </w:rPr>
              <w:t>Entities are encouraged to set targets for renewable energy procurement as part of their decarbonisation efforts. (Chapter 2, Section 3; Appendix 1).</w:t>
            </w:r>
          </w:p>
          <w:p w14:paraId="6B5397B3" w14:textId="57535F6F" w:rsidR="00DF2368" w:rsidRPr="00DF2368" w:rsidRDefault="00DF2368" w:rsidP="00DF2368">
            <w:pPr>
              <w:pStyle w:val="a9"/>
              <w:numPr>
                <w:ilvl w:val="0"/>
                <w:numId w:val="49"/>
              </w:numPr>
              <w:rPr>
                <w:rFonts w:ascii="Calibri" w:hAnsi="Calibri" w:cs="Calibri"/>
              </w:rPr>
            </w:pPr>
            <w:r w:rsidRPr="00DF2368">
              <w:rPr>
                <w:rFonts w:ascii="Calibri" w:hAnsi="Calibri" w:cs="Calibri"/>
              </w:rPr>
              <w:t>Targets for fossil fuel phase down/phase out: Recommended as part of transition strategies, especially in hard-to-abate sectors. (Appendix 3, sector summaries).</w:t>
            </w:r>
          </w:p>
          <w:p w14:paraId="20CA8168" w14:textId="72DC08C3" w:rsidR="005F5DAC" w:rsidRPr="00F71857" w:rsidRDefault="00DF2368" w:rsidP="00F71857">
            <w:pPr>
              <w:pStyle w:val="a9"/>
              <w:numPr>
                <w:ilvl w:val="0"/>
                <w:numId w:val="49"/>
              </w:numPr>
              <w:rPr>
                <w:rFonts w:ascii="Calibri" w:hAnsi="Calibri" w:cs="Calibri"/>
                <w:lang w:val="en-US"/>
              </w:rPr>
            </w:pPr>
            <w:r w:rsidRPr="00DF2368">
              <w:rPr>
                <w:rFonts w:ascii="Calibri" w:hAnsi="Calibri" w:cs="Calibri"/>
                <w:lang w:val="en-US"/>
              </w:rPr>
              <w:t>Separate targets for GHG offsets and/or removals</w:t>
            </w:r>
            <w:r>
              <w:rPr>
                <w:rFonts w:ascii="Calibri" w:hAnsi="Calibri" w:cs="Calibri"/>
                <w:lang w:val="en-US"/>
              </w:rPr>
              <w:t xml:space="preserve">: </w:t>
            </w:r>
            <w:r w:rsidRPr="00DF2368">
              <w:rPr>
                <w:rFonts w:ascii="Calibri" w:hAnsi="Calibri" w:cs="Calibri"/>
                <w:lang w:val="en-US"/>
              </w:rPr>
              <w:t>Entities should consider the role of offsets/removals and set separate targets where relevant. (Chapter 2, Section 3; Appendix 1).</w:t>
            </w:r>
          </w:p>
        </w:tc>
      </w:tr>
    </w:tbl>
    <w:p w14:paraId="59195EB3" w14:textId="77777777" w:rsidR="00951BBE" w:rsidRDefault="00951BBE"/>
    <w:p w14:paraId="53B93477" w14:textId="4E6B70AE" w:rsidR="00951BBE" w:rsidRDefault="005E50FD" w:rsidP="00951BBE">
      <w:pPr>
        <w:pStyle w:val="2"/>
      </w:pPr>
      <w:bookmarkStart w:id="10" w:name="_Toc198223609"/>
      <w:r>
        <w:t xml:space="preserve">Section 2.4: </w:t>
      </w:r>
      <w:r w:rsidR="00951BBE">
        <w:t>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34992FFD" w:rsidR="000A1365" w:rsidRPr="00C37D48" w:rsidRDefault="00F71857" w:rsidP="00C37D48">
            <w:pPr>
              <w:rPr>
                <w:rFonts w:ascii="Calibri" w:hAnsi="Calibri" w:cs="Calibri"/>
              </w:rPr>
            </w:pPr>
            <w:r>
              <w:rPr>
                <w:rFonts w:ascii="Calibri" w:hAnsi="Calibri" w:cs="Calibri"/>
              </w:rPr>
              <w:t>X</w:t>
            </w: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7D246B89" w:rsidR="00C81DE5" w:rsidRPr="00C37D48" w:rsidRDefault="00F71857"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68F0CD96" w:rsidR="000A1365" w:rsidRPr="00C37D48" w:rsidRDefault="006020C9" w:rsidP="00C37D48">
            <w:pPr>
              <w:rPr>
                <w:rFonts w:ascii="Calibri" w:hAnsi="Calibri" w:cs="Calibri"/>
              </w:rPr>
            </w:pPr>
            <w:r>
              <w:rPr>
                <w:rFonts w:ascii="Calibri" w:hAnsi="Calibri" w:cs="Calibri"/>
              </w:rPr>
              <w:t>X</w:t>
            </w: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90BD6B2" w:rsidR="000A1365" w:rsidRPr="00C37D48" w:rsidRDefault="006020C9" w:rsidP="00C37D48">
            <w:pPr>
              <w:rPr>
                <w:rFonts w:ascii="Calibri" w:hAnsi="Calibri" w:cs="Calibri"/>
              </w:rPr>
            </w:pPr>
            <w:r>
              <w:rPr>
                <w:rFonts w:ascii="Calibri" w:hAnsi="Calibri" w:cs="Calibri"/>
              </w:rPr>
              <w:t>X</w:t>
            </w: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56385762" w:rsidR="000A1365" w:rsidRPr="00C37D48" w:rsidRDefault="006020C9" w:rsidP="00C37D48">
            <w:pPr>
              <w:rPr>
                <w:rFonts w:ascii="Calibri" w:hAnsi="Calibri" w:cs="Calibri"/>
              </w:rPr>
            </w:pPr>
            <w:r>
              <w:rPr>
                <w:rFonts w:ascii="Calibri" w:hAnsi="Calibri" w:cs="Calibri"/>
              </w:rPr>
              <w:t>X</w:t>
            </w: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69D7EF60" w:rsidR="000A1365" w:rsidRPr="00C37D48" w:rsidRDefault="00387CED" w:rsidP="00C37D48">
            <w:pPr>
              <w:rPr>
                <w:rFonts w:ascii="Calibri" w:hAnsi="Calibri" w:cs="Calibri"/>
                <w:lang w:eastAsia="ja-JP"/>
              </w:rPr>
            </w:pPr>
            <w:r>
              <w:rPr>
                <w:rFonts w:ascii="Calibri" w:hAnsi="Calibri" w:cs="Calibri" w:hint="eastAsia"/>
                <w:lang w:eastAsia="ja-JP"/>
              </w:rPr>
              <w:t>X (</w:t>
            </w:r>
            <w:r w:rsidR="006020C9">
              <w:rPr>
                <w:rFonts w:ascii="Calibri" w:hAnsi="Calibri" w:cs="Calibri"/>
              </w:rPr>
              <w:t>46% reduction in GHG emissions</w:t>
            </w:r>
            <w:r>
              <w:rPr>
                <w:rFonts w:ascii="Calibri" w:hAnsi="Calibri" w:cs="Calibri" w:hint="eastAsia"/>
                <w:lang w:eastAsia="ja-JP"/>
              </w:rPr>
              <w:t>)</w:t>
            </w: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3E3D4831" w:rsidR="000A1365" w:rsidRPr="00C37D48" w:rsidRDefault="00387CED" w:rsidP="00C37D48">
            <w:pPr>
              <w:rPr>
                <w:rFonts w:ascii="Calibri" w:hAnsi="Calibri" w:cs="Calibri"/>
                <w:lang w:eastAsia="ja-JP"/>
              </w:rPr>
            </w:pPr>
            <w:r>
              <w:rPr>
                <w:rFonts w:ascii="Calibri" w:hAnsi="Calibri" w:cs="Calibri" w:hint="eastAsia"/>
                <w:lang w:eastAsia="ja-JP"/>
              </w:rPr>
              <w:t>X (</w:t>
            </w:r>
            <w:r w:rsidR="006020C9">
              <w:rPr>
                <w:rFonts w:ascii="Calibri" w:hAnsi="Calibri" w:cs="Calibri"/>
              </w:rPr>
              <w:t>Net zero</w:t>
            </w:r>
            <w:r>
              <w:rPr>
                <w:rFonts w:ascii="Calibri" w:hAnsi="Calibri" w:cs="Calibri" w:hint="eastAsia"/>
                <w:lang w:eastAsia="ja-JP"/>
              </w:rPr>
              <w:t>)</w:t>
            </w: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69DD7081" w:rsidR="000A1365" w:rsidRPr="00C37D48" w:rsidRDefault="006020C9"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25B00CA6" w:rsidR="000A1365" w:rsidRPr="00C37D48" w:rsidRDefault="00FA342B" w:rsidP="00C37D48">
            <w:pPr>
              <w:rPr>
                <w:rFonts w:ascii="Calibri" w:hAnsi="Calibri" w:cs="Calibri"/>
              </w:rPr>
            </w:pPr>
            <w:r>
              <w:rPr>
                <w:rFonts w:ascii="Calibri" w:hAnsi="Calibri" w:cs="Calibri"/>
              </w:rPr>
              <w:t>X</w:t>
            </w: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2308F2A6" w:rsidR="000A1365" w:rsidRPr="00C37D48" w:rsidRDefault="00FA342B" w:rsidP="00C37D48">
            <w:pPr>
              <w:rPr>
                <w:rFonts w:ascii="Calibri" w:hAnsi="Calibri" w:cs="Calibri"/>
              </w:rPr>
            </w:pPr>
            <w:r>
              <w:rPr>
                <w:rFonts w:ascii="Calibri" w:hAnsi="Calibri" w:cs="Calibri"/>
                <w14:ligatures w14:val="none"/>
              </w:rPr>
              <w:t>The policy tool recommends, but does not require, that entities establish interim GHG emissions reduction targets as part of their transition strategies. The document emphasises the importance of setting science-based targets and interim milestones (such as 2030 goals) to enhance the credibility and effectiveness of decarbonisation efforts, and encourages regular dialogue and review of progress towards these targets between fundraisers and financiers (pp. 3, 8, 18)</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5F5E7150" w:rsidR="000A1365" w:rsidRPr="00C37D48" w:rsidRDefault="00FA342B"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57C1ED5B" w:rsidR="000A1365" w:rsidRPr="00C37D48" w:rsidRDefault="00FA342B"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658553D1" w:rsidR="00D9431B" w:rsidRPr="00C37D48" w:rsidRDefault="00FA342B"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1" w:name="_Toc198223610"/>
      <w:r>
        <w:t xml:space="preserve">Section 2.5: </w:t>
      </w:r>
      <w:r w:rsidR="00950B68">
        <w:t>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6830CB0E" w:rsidR="00890032" w:rsidRPr="00C37D48" w:rsidRDefault="00FA342B"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239D170" w:rsidR="00474855" w:rsidRPr="00C37D48" w:rsidRDefault="00FA342B" w:rsidP="00C37D48">
            <w:pPr>
              <w:rPr>
                <w:rFonts w:ascii="Calibri" w:hAnsi="Calibri" w:cs="Calibri"/>
              </w:rPr>
            </w:pPr>
            <w:r>
              <w:rPr>
                <w:rFonts w:ascii="Calibri" w:hAnsi="Calibri" w:cs="Calibri"/>
              </w:rPr>
              <w:t>No</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13D9A341" w:rsidR="003618D4" w:rsidRPr="00C37D48" w:rsidRDefault="002A650E"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1F58BAE6" w:rsidR="003618D4" w:rsidRPr="00C37D48" w:rsidRDefault="002A650E" w:rsidP="00C37D48">
            <w:pPr>
              <w:rPr>
                <w:rFonts w:ascii="Calibri" w:hAnsi="Calibri" w:cs="Calibri"/>
              </w:rPr>
            </w:pPr>
            <w:r>
              <w:rPr>
                <w:rFonts w:ascii="Calibri" w:hAnsi="Calibri" w:cs="Calibri"/>
              </w:rPr>
              <w:t>X</w:t>
            </w: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2A06CB91" w:rsidR="003618D4" w:rsidRPr="00C37D48" w:rsidRDefault="002A650E"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61BC547D" w:rsidR="003618D4" w:rsidRPr="00C37D48" w:rsidRDefault="002A650E" w:rsidP="00C37D48">
            <w:pPr>
              <w:rPr>
                <w:rFonts w:ascii="Calibri" w:hAnsi="Calibri" w:cs="Calibri"/>
              </w:rPr>
            </w:pPr>
            <w:r>
              <w:rPr>
                <w:rFonts w:ascii="Calibri" w:hAnsi="Calibri" w:cs="Calibri"/>
              </w:rPr>
              <w:t>X</w:t>
            </w: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11021EF2" w:rsidR="003618D4" w:rsidRPr="00C37D48" w:rsidRDefault="002A650E" w:rsidP="00C37D48">
            <w:pPr>
              <w:rPr>
                <w:rFonts w:ascii="Calibri" w:hAnsi="Calibri" w:cs="Calibri"/>
              </w:rPr>
            </w:pPr>
            <w:r>
              <w:rPr>
                <w:rFonts w:ascii="Calibri" w:hAnsi="Calibri" w:cs="Calibri"/>
              </w:rPr>
              <w:t>X</w:t>
            </w: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1969F419" w:rsidR="003618D4" w:rsidRPr="00C37D48" w:rsidRDefault="002A650E"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3D28DBF3" w14:textId="07754613" w:rsidR="002A650E" w:rsidRPr="002A650E" w:rsidRDefault="002A650E" w:rsidP="002A650E">
            <w:pPr>
              <w:pStyle w:val="a9"/>
              <w:numPr>
                <w:ilvl w:val="0"/>
                <w:numId w:val="51"/>
              </w:numPr>
            </w:pPr>
            <w:r w:rsidRPr="002A650E">
              <w:rPr>
                <w:rFonts w:ascii="Calibri" w:hAnsi="Calibri" w:cs="Calibri"/>
                <w:kern w:val="0"/>
                <w14:ligatures w14:val="none"/>
              </w:rPr>
              <w:t xml:space="preserve">A timeframe for the </w:t>
            </w:r>
            <w:r w:rsidRPr="002A650E">
              <w:rPr>
                <w:rFonts w:ascii="Calibri" w:hAnsi="Calibri" w:cs="Calibri"/>
                <w:bCs/>
                <w:kern w:val="0"/>
                <w14:ligatures w14:val="none"/>
              </w:rPr>
              <w:t>transition plan:</w:t>
            </w:r>
            <w:r w:rsidRPr="002A650E">
              <w:rPr>
                <w:rFonts w:ascii="Calibri" w:hAnsi="Calibri" w:cs="Calibri"/>
                <w:b/>
                <w:kern w:val="0"/>
                <w14:ligatures w14:val="none"/>
              </w:rPr>
              <w:t xml:space="preserve"> </w:t>
            </w:r>
            <w:r w:rsidRPr="002A650E">
              <w:rPr>
                <w:rFonts w:ascii="Calibri" w:hAnsi="Calibri" w:cs="Calibri"/>
              </w:rPr>
              <w:t xml:space="preserve">The </w:t>
            </w:r>
            <w:r>
              <w:rPr>
                <w:rFonts w:ascii="Calibri" w:hAnsi="Calibri" w:cs="Calibri"/>
              </w:rPr>
              <w:t>policy tool</w:t>
            </w:r>
            <w:r w:rsidRPr="002A650E">
              <w:rPr>
                <w:rFonts w:ascii="Calibri" w:hAnsi="Calibri" w:cs="Calibri"/>
              </w:rPr>
              <w:t xml:space="preserve"> recommends that transition strategies encompass target years for achieving carbon neutrality and emission reduction goals, which implies the inclusion of a timeframe. It is expected that fundraisers set out clear timelines as part of their transition strategies (Chapter 1, Section 2; Chapter 2, Section 2; Appendix 1).</w:t>
            </w:r>
          </w:p>
          <w:p w14:paraId="108AA812" w14:textId="4445F9DE" w:rsidR="002A650E" w:rsidRDefault="002A650E" w:rsidP="002A650E">
            <w:pPr>
              <w:pStyle w:val="a9"/>
              <w:numPr>
                <w:ilvl w:val="0"/>
                <w:numId w:val="51"/>
              </w:numPr>
            </w:pPr>
            <w:r w:rsidRPr="002A650E">
              <w:rPr>
                <w:rFonts w:ascii="Calibri" w:hAnsi="Calibri" w:cs="Calibri"/>
              </w:rPr>
              <w:t xml:space="preserve">Key performance indicators (KPIs) for monitoring implementation: The </w:t>
            </w:r>
            <w:r>
              <w:rPr>
                <w:rFonts w:ascii="Calibri" w:hAnsi="Calibri" w:cs="Calibri"/>
              </w:rPr>
              <w:t xml:space="preserve">policy tool </w:t>
            </w:r>
            <w:r w:rsidRPr="002A650E">
              <w:rPr>
                <w:rFonts w:ascii="Calibri" w:hAnsi="Calibri" w:cs="Calibri"/>
              </w:rPr>
              <w:t>recommends the establishment and monitoring of specific measures and Sustainability Performance Targets (SPTs), which serve as KPIs for tracking progress towards decarbonisation goals (Chapter 2, Section 3; Appendix 1; Appendix 2).</w:t>
            </w:r>
          </w:p>
          <w:p w14:paraId="75385BFA" w14:textId="792BA115" w:rsidR="002A650E" w:rsidRPr="002A650E" w:rsidRDefault="002A650E" w:rsidP="002A650E">
            <w:pPr>
              <w:pStyle w:val="a9"/>
              <w:numPr>
                <w:ilvl w:val="0"/>
                <w:numId w:val="50"/>
              </w:numPr>
              <w:rPr>
                <w:rFonts w:ascii="Calibri" w:hAnsi="Calibri" w:cs="Calibri"/>
              </w:rPr>
            </w:pPr>
            <w:r w:rsidRPr="002A650E">
              <w:rPr>
                <w:rFonts w:ascii="Calibri" w:hAnsi="Calibri" w:cs="Calibri"/>
              </w:rPr>
              <w:t xml:space="preserve">Updates to the transition plan: The </w:t>
            </w:r>
            <w:r w:rsidR="0001711B">
              <w:rPr>
                <w:rFonts w:ascii="Calibri" w:hAnsi="Calibri" w:cs="Calibri"/>
              </w:rPr>
              <w:t>policy tool</w:t>
            </w:r>
            <w:r w:rsidRPr="002A650E">
              <w:rPr>
                <w:rFonts w:ascii="Calibri" w:hAnsi="Calibri" w:cs="Calibri"/>
              </w:rPr>
              <w:t xml:space="preserve"> recommends that transition strategies and plans be reassessed and updated in response to changes in the business environment, technological advancements, or policy changes. Regular dialogue and review are encouraged to ensure the plan remains credible and effective (Chapter 2, Section 3; Appendix 1).</w:t>
            </w:r>
          </w:p>
          <w:p w14:paraId="79596B21" w14:textId="2629C8ED" w:rsidR="002A650E" w:rsidRPr="002A650E" w:rsidRDefault="002A650E" w:rsidP="002A650E">
            <w:pPr>
              <w:pStyle w:val="a9"/>
              <w:numPr>
                <w:ilvl w:val="0"/>
                <w:numId w:val="50"/>
              </w:numPr>
              <w:rPr>
                <w:rFonts w:ascii="Calibri" w:hAnsi="Calibri" w:cs="Calibri"/>
              </w:rPr>
            </w:pPr>
            <w:r w:rsidRPr="002A650E">
              <w:rPr>
                <w:rFonts w:ascii="Calibri" w:hAnsi="Calibri" w:cs="Calibri"/>
              </w:rPr>
              <w:t xml:space="preserve">Third party verification and/or audited accuracy: The </w:t>
            </w:r>
            <w:r w:rsidR="0001711B">
              <w:rPr>
                <w:rFonts w:ascii="Calibri" w:hAnsi="Calibri" w:cs="Calibri"/>
              </w:rPr>
              <w:t>policy tool</w:t>
            </w:r>
            <w:r w:rsidRPr="002A650E">
              <w:rPr>
                <w:rFonts w:ascii="Calibri" w:hAnsi="Calibri" w:cs="Calibri"/>
              </w:rPr>
              <w:t xml:space="preserve"> refers to the use of Second Party Opinions and evaluation agency roadshows as sources of verification for transition strategies and targets. While not strictly required, such third-party assessments are recommended to enhance credibility and transparency (Chapter 2, Section 2; Appendix 1; Appendix 2).</w:t>
            </w:r>
          </w:p>
          <w:p w14:paraId="1988C161" w14:textId="04CBE048" w:rsidR="002A650E" w:rsidRDefault="002A650E" w:rsidP="002A650E">
            <w:pPr>
              <w:pStyle w:val="a9"/>
              <w:numPr>
                <w:ilvl w:val="0"/>
                <w:numId w:val="50"/>
              </w:numPr>
              <w:rPr>
                <w:rFonts w:ascii="Calibri" w:hAnsi="Calibri" w:cs="Calibri"/>
                <w:lang w:val="en-US"/>
              </w:rPr>
            </w:pPr>
            <w:r w:rsidRPr="002A650E">
              <w:rPr>
                <w:rFonts w:ascii="Calibri" w:hAnsi="Calibri" w:cs="Calibri"/>
              </w:rPr>
              <w:t>Identified methodology for scenario analysis</w:t>
            </w:r>
            <w:r>
              <w:rPr>
                <w:rFonts w:ascii="Calibri" w:hAnsi="Calibri" w:cs="Calibri"/>
              </w:rPr>
              <w:t xml:space="preserve">: </w:t>
            </w:r>
            <w:r w:rsidRPr="002A650E">
              <w:rPr>
                <w:rFonts w:ascii="Calibri" w:hAnsi="Calibri" w:cs="Calibri"/>
                <w:lang w:val="en-US"/>
              </w:rPr>
              <w:t xml:space="preserve">The </w:t>
            </w:r>
            <w:r w:rsidR="0001711B">
              <w:rPr>
                <w:rFonts w:ascii="Calibri" w:hAnsi="Calibri" w:cs="Calibri"/>
                <w:lang w:val="en-US"/>
              </w:rPr>
              <w:t>policy tool</w:t>
            </w:r>
            <w:r w:rsidRPr="002A650E">
              <w:rPr>
                <w:rFonts w:ascii="Calibri" w:hAnsi="Calibri" w:cs="Calibri"/>
                <w:lang w:val="en-US"/>
              </w:rPr>
              <w:t xml:space="preserve"> recommends that fundraisers clarify the scenarios and technological or political trends considered as assumptions at the time of fundraising. References to IEA scenarios or SBTi are suggested when establishing goals, indicating that a clear methodology for scenario analysis is recommended (Chapter 2, Section 2; Appendix 1).</w:t>
            </w:r>
          </w:p>
          <w:p w14:paraId="475AE54F" w14:textId="636F2C8B" w:rsidR="002A650E" w:rsidRPr="002A650E" w:rsidRDefault="002A650E" w:rsidP="002A650E">
            <w:pPr>
              <w:pStyle w:val="a9"/>
              <w:numPr>
                <w:ilvl w:val="0"/>
                <w:numId w:val="50"/>
              </w:numPr>
              <w:rPr>
                <w:rFonts w:ascii="Calibri" w:hAnsi="Calibri" w:cs="Calibri"/>
                <w:lang w:val="en-US"/>
              </w:rPr>
            </w:pPr>
            <w:r w:rsidRPr="002A650E">
              <w:rPr>
                <w:rFonts w:ascii="Calibri" w:hAnsi="Calibri" w:cs="Calibri"/>
              </w:rPr>
              <w:t xml:space="preserve">Incorporation of climate change into capital allocation/expenditure: The </w:t>
            </w:r>
            <w:r w:rsidR="0001711B">
              <w:rPr>
                <w:rFonts w:ascii="Calibri" w:hAnsi="Calibri" w:cs="Calibri"/>
              </w:rPr>
              <w:t>policy tool</w:t>
            </w:r>
            <w:r w:rsidRPr="002A650E">
              <w:rPr>
                <w:rFonts w:ascii="Calibri" w:hAnsi="Calibri" w:cs="Calibri"/>
              </w:rPr>
              <w:t xml:space="preserve"> recommends that transition finance be linked to specific measures with set deadlines and that the use of proceeds (for bonds or loans) be aligned with decarbonisation efforts. This implies the incorporation of climate change considerations into capital allocation and expenditure planning (Chapter 1, Section 2; Chapter 2, Section 3; Appendix 1; Appendix 2).</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1CB60476" w:rsidR="00E7486E" w:rsidRPr="00C37D48" w:rsidRDefault="002A650E" w:rsidP="00C37D48">
            <w:pPr>
              <w:rPr>
                <w:rFonts w:ascii="Calibri" w:hAnsi="Calibri" w:cs="Calibri"/>
              </w:rPr>
            </w:pPr>
            <w:r>
              <w:rPr>
                <w:rFonts w:ascii="Calibri" w:hAnsi="Calibri" w:cs="Calibri"/>
              </w:rPr>
              <w:t>X</w:t>
            </w: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4F66097C" w:rsidR="00E7486E" w:rsidRPr="0001711B" w:rsidRDefault="0001711B" w:rsidP="00C37D48">
            <w:r>
              <w:rPr>
                <w:rFonts w:ascii="Calibri" w:hAnsi="Calibri" w:cs="Calibri"/>
              </w:rPr>
              <w:t>The policy tool recommends that entities monitor progress in implementing their transition plan. This is reflected in the guidance, which outlines the importance of regular follow-up activities, the use of KPIs (SPTs), and ongoing dialogue to track progress and reassess strategies. These recommendations are detailed in Chapter 2, Section 3, and further supported by practical checklists in Appendix 1 and examples in Appendix 2.</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4E6B3607" w:rsidR="00671EA4" w:rsidRPr="00C37D48" w:rsidRDefault="0001711B" w:rsidP="00C37D48">
            <w:pPr>
              <w:rPr>
                <w:rFonts w:ascii="Calibri" w:hAnsi="Calibri" w:cs="Calibri"/>
              </w:rPr>
            </w:pPr>
            <w:r>
              <w:rPr>
                <w:rFonts w:ascii="Calibri" w:hAnsi="Calibri" w:cs="Calibri"/>
              </w:rPr>
              <w:t>X</w:t>
            </w: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0204806A" w:rsidR="00773639" w:rsidRPr="00C37D48" w:rsidRDefault="0001711B" w:rsidP="00C37D48">
            <w:pPr>
              <w:rPr>
                <w:rFonts w:ascii="Calibri" w:hAnsi="Calibri" w:cs="Calibri"/>
              </w:rPr>
            </w:pPr>
            <w:r>
              <w:rPr>
                <w:rFonts w:ascii="Calibri" w:hAnsi="Calibri" w:cs="Calibri"/>
              </w:rPr>
              <w:t>X</w:t>
            </w: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01BF1C22" w:rsidR="00773639" w:rsidRPr="00C37D48" w:rsidRDefault="0001711B" w:rsidP="00C37D48">
            <w:pPr>
              <w:rPr>
                <w:rFonts w:ascii="Calibri" w:hAnsi="Calibri" w:cs="Calibri"/>
              </w:rPr>
            </w:pPr>
            <w:r>
              <w:rPr>
                <w:rFonts w:ascii="Calibri" w:hAnsi="Calibri" w:cs="Calibri"/>
              </w:rPr>
              <w:t>X</w:t>
            </w: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3007303E" w14:textId="77777777" w:rsidR="0001711B" w:rsidRDefault="0001711B" w:rsidP="0001711B">
            <w:pPr>
              <w:pStyle w:val="a9"/>
              <w:numPr>
                <w:ilvl w:val="0"/>
                <w:numId w:val="52"/>
              </w:numPr>
              <w:rPr>
                <w:rFonts w:ascii="Calibri" w:hAnsi="Calibri" w:cs="Calibri"/>
                <w:lang w:val="en-US"/>
              </w:rPr>
            </w:pPr>
            <w:r>
              <w:rPr>
                <w:rFonts w:ascii="Calibri" w:hAnsi="Calibri" w:cs="Calibri"/>
              </w:rPr>
              <w:t xml:space="preserve">Investor engagement: </w:t>
            </w:r>
            <w:r w:rsidRPr="0001711B">
              <w:rPr>
                <w:rFonts w:ascii="Calibri" w:hAnsi="Calibri" w:cs="Calibri"/>
                <w:lang w:val="en-US"/>
              </w:rPr>
              <w:t>The policy tool places significant emphasis on ongoing, purposeful, and constructive dialogue between fundraisers (entities) and financiers (including investors) to support the steady execution of transition strategies. The document highlights the importance of two-way communication and regular follow-up activities, particularly for bond investors, to ensure alignment with transition plans (see Preface; Chapter 1, Section 2; Chapter 2, Section 3; Appendix 2).</w:t>
            </w:r>
          </w:p>
          <w:p w14:paraId="5B02B6C2" w14:textId="1289156A" w:rsidR="0001711B" w:rsidRPr="0001711B" w:rsidRDefault="0001711B" w:rsidP="0001711B">
            <w:pPr>
              <w:pStyle w:val="a9"/>
              <w:numPr>
                <w:ilvl w:val="0"/>
                <w:numId w:val="52"/>
              </w:numPr>
              <w:rPr>
                <w:rFonts w:ascii="Calibri" w:hAnsi="Calibri" w:cs="Calibri"/>
                <w:lang w:val="en-US"/>
              </w:rPr>
            </w:pPr>
            <w:r w:rsidRPr="0001711B">
              <w:rPr>
                <w:rFonts w:ascii="Calibri" w:hAnsi="Calibri" w:cs="Calibri"/>
              </w:rPr>
              <w:t>Corporate governance structure for transition and verification: The policy tool recommends that entities establish a governance framework to ensure the effective execution of their transition strategy. This includes setting up appropriate structures for monitoring, reporting, and verifying progress towards decarbonisation targets. The guidance refers to the need for a governance framework as part of a credible transition strategy and encourages entities to disclose and explain their governance arrangements (see Preface; Chapter 1, Section 2; Chapter 2, Section 2; Appendix 1).</w:t>
            </w:r>
          </w:p>
        </w:tc>
      </w:tr>
    </w:tbl>
    <w:p w14:paraId="7F9159A2" w14:textId="77777777" w:rsidR="007936C6" w:rsidRDefault="007936C6"/>
    <w:p w14:paraId="0E7A1D8B" w14:textId="20D879B9" w:rsidR="00950B68" w:rsidRDefault="005E50FD" w:rsidP="00950B68">
      <w:pPr>
        <w:pStyle w:val="2"/>
      </w:pPr>
      <w:bookmarkStart w:id="12" w:name="_Toc198223611"/>
      <w:r>
        <w:t xml:space="preserve">Section 2.6: </w:t>
      </w:r>
      <w:r w:rsidR="00950B68">
        <w:t>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0A16D76A" w:rsidR="00B610C2" w:rsidRPr="00610F28" w:rsidRDefault="00103D62"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2952C4FE" w:rsidR="00B610C2" w:rsidRPr="00610F28" w:rsidRDefault="00103D62"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675C02B0" w:rsidR="00B610C2" w:rsidRPr="00610F28" w:rsidRDefault="00103D62" w:rsidP="00610F28">
            <w:pPr>
              <w:rPr>
                <w:rFonts w:ascii="Calibri" w:hAnsi="Calibri" w:cs="Calibri"/>
              </w:rPr>
            </w:pPr>
            <w:r>
              <w:rPr>
                <w:rFonts w:ascii="Calibri" w:hAnsi="Calibri" w:cs="Calibri"/>
              </w:rPr>
              <w:t>X</w:t>
            </w: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4FDFFF8A" w:rsidR="00B610C2" w:rsidRPr="00610F28" w:rsidRDefault="00103D62"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5F5B36A9" w:rsidR="00B610C2" w:rsidRPr="00610F28" w:rsidRDefault="00103D62"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494CCFF4" w:rsidR="00B610C2" w:rsidRPr="00610F28" w:rsidRDefault="00103D62"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22D2A653" w:rsidR="00B610C2" w:rsidRPr="00610F28" w:rsidRDefault="00103D62" w:rsidP="00610F28">
            <w:pPr>
              <w:rPr>
                <w:rFonts w:ascii="Calibri" w:hAnsi="Calibri" w:cs="Calibri"/>
              </w:rPr>
            </w:pPr>
            <w:r>
              <w:rPr>
                <w:rFonts w:ascii="Calibri" w:hAnsi="Calibri" w:cs="Calibri"/>
              </w:rPr>
              <w:t>X</w:t>
            </w: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06437A19" w:rsidR="00B610C2" w:rsidRPr="00610F28" w:rsidRDefault="00103D62" w:rsidP="00610F28">
            <w:pPr>
              <w:rPr>
                <w:rFonts w:ascii="Calibri" w:hAnsi="Calibri" w:cs="Calibri"/>
              </w:rPr>
            </w:pPr>
            <w:r>
              <w:rPr>
                <w:rFonts w:ascii="Calibri" w:hAnsi="Calibri" w:cs="Calibri"/>
              </w:rPr>
              <w:t>X</w:t>
            </w: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65AFD08B" w:rsidR="00B610C2" w:rsidRPr="00610F28" w:rsidRDefault="00103D62" w:rsidP="00610F28">
            <w:pPr>
              <w:rPr>
                <w:rFonts w:ascii="Calibri" w:hAnsi="Calibri" w:cs="Calibri"/>
              </w:rPr>
            </w:pPr>
            <w:r>
              <w:rPr>
                <w:rFonts w:ascii="Calibri" w:hAnsi="Calibri" w:cs="Calibri"/>
              </w:rPr>
              <w:t>X</w:t>
            </w: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24E05EEE" w:rsidR="00B610C2" w:rsidRPr="00610F28" w:rsidRDefault="00103D62"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4EA6A2A8" w:rsidR="00B610C2" w:rsidRPr="00610F28" w:rsidRDefault="00103D62" w:rsidP="00610F28">
            <w:pPr>
              <w:rPr>
                <w:rFonts w:ascii="Calibri" w:hAnsi="Calibri" w:cs="Calibri"/>
              </w:rPr>
            </w:pPr>
            <w:r>
              <w:rPr>
                <w:rFonts w:ascii="Calibri" w:hAnsi="Calibri" w:cs="Calibri"/>
              </w:rPr>
              <w:t>X</w:t>
            </w: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3" w:name="_Toc198223612"/>
      <w:r>
        <w:t>Domain 3: Public Procurement</w:t>
      </w:r>
      <w:bookmarkEnd w:id="13"/>
      <w:r>
        <w:t xml:space="preserve"> </w:t>
      </w:r>
    </w:p>
    <w:p w14:paraId="0D8B4B9F" w14:textId="5E2943CF" w:rsidR="00950B68" w:rsidRPr="00950B68" w:rsidRDefault="005E50FD" w:rsidP="00950B68">
      <w:pPr>
        <w:pStyle w:val="2"/>
      </w:pPr>
      <w:bookmarkStart w:id="14" w:name="_Toc198223613"/>
      <w:r>
        <w:t xml:space="preserve">Section 3.1: </w:t>
      </w:r>
      <w:r w:rsidR="00950B68">
        <w:t>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FC12E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2"/>
      </w:pPr>
      <w:bookmarkStart w:id="17" w:name="_Toc198223614"/>
      <w:r>
        <w:t xml:space="preserve">Section 3.2: </w:t>
      </w:r>
      <w:r w:rsidR="00436F24">
        <w:t>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2"/>
      </w:pPr>
      <w:bookmarkStart w:id="18" w:name="_Toc198223615"/>
      <w:r>
        <w:t xml:space="preserve">Section 3.3: </w:t>
      </w:r>
      <w:r w:rsidR="002E5ACB">
        <w:t>Life</w:t>
      </w:r>
      <w:r w:rsidR="00DF4489">
        <w:t>-cycle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2"/>
      </w:pPr>
      <w:bookmarkStart w:id="19" w:name="_Toc198223616"/>
      <w:r>
        <w:t xml:space="preserve">Section 3.4: </w:t>
      </w:r>
      <w:r w:rsidR="00062526">
        <w:t>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2"/>
      </w:pPr>
      <w:bookmarkStart w:id="20" w:name="_Toc198223617"/>
      <w:r>
        <w:t xml:space="preserve">Section 3.5: </w:t>
      </w:r>
      <w:r w:rsidR="00064195">
        <w:t>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2"/>
      </w:pPr>
      <w:bookmarkStart w:id="21" w:name="_Toc198223618"/>
      <w:r>
        <w:t xml:space="preserve">Section 3.6: </w:t>
      </w:r>
      <w:r w:rsidR="00C85DD9">
        <w:t>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2"/>
      </w:pPr>
      <w:bookmarkStart w:id="22" w:name="_Toc198223619"/>
      <w:r>
        <w:t xml:space="preserve">Section 3.7: </w:t>
      </w:r>
      <w:r w:rsidR="00A42235">
        <w:t>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2"/>
      </w:pPr>
      <w:bookmarkStart w:id="23" w:name="_Toc198223620"/>
      <w:r>
        <w:t xml:space="preserve">Section 3.8: </w:t>
      </w:r>
      <w:r w:rsidR="001E7C37">
        <w:t>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2"/>
      </w:pPr>
      <w:bookmarkStart w:id="24" w:name="_Toc198223621"/>
      <w:r>
        <w:t xml:space="preserve">Section 3.9: </w:t>
      </w:r>
      <w:r w:rsidR="00950B68">
        <w:t>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5" w:name="_Toc198223622"/>
      <w:r>
        <w:t>Domain 4: Carbon Credits</w:t>
      </w:r>
      <w:bookmarkEnd w:id="25"/>
    </w:p>
    <w:p w14:paraId="25C35D8C" w14:textId="52BD279F"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FC12E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0"/>
          <w:rFonts w:cstheme="minorBidi"/>
          <w:sz w:val="24"/>
          <w:szCs w:val="24"/>
        </w:rPr>
        <w:t xml:space="preserve">Section </w:t>
      </w:r>
      <w:r w:rsidR="00B20D58">
        <w:rPr>
          <w:rStyle w:val="30"/>
          <w:rFonts w:cstheme="minorBidi"/>
          <w:sz w:val="24"/>
          <w:szCs w:val="24"/>
        </w:rPr>
        <w:t>4</w:t>
      </w:r>
      <w:r w:rsidR="00D2196F">
        <w:rPr>
          <w:rStyle w:val="30"/>
          <w:rFonts w:cstheme="minorBidi"/>
          <w:sz w:val="24"/>
          <w:szCs w:val="24"/>
        </w:rPr>
        <w:t>.4.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39" w:name="_Toc198223631"/>
      <w:r w:rsidRPr="009C4D10">
        <w:t>Domain 5: Prudential Tools</w:t>
      </w:r>
      <w:bookmarkEnd w:id="39"/>
    </w:p>
    <w:p w14:paraId="3E16913F" w14:textId="21F34EF6"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FC12E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3B2B37" w:rsidP="00CF2E7C">
            <w:pPr>
              <w:rPr>
                <w:rFonts w:cstheme="minorHAnsi"/>
              </w:rPr>
            </w:pPr>
            <w:hyperlink r:id="rId18" w:tgtFrame="_blank" w:history="1">
              <w:r w:rsidR="00FE0EA5" w:rsidRPr="009C4D10">
                <w:rPr>
                  <w:rStyle w:val="ab"/>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3B2B37" w:rsidP="00CF2E7C">
            <w:pPr>
              <w:rPr>
                <w:rFonts w:cstheme="minorHAnsi"/>
              </w:rPr>
            </w:pPr>
            <w:hyperlink r:id="rId19" w:tgtFrame="_blank" w:history="1">
              <w:r w:rsidR="00FE0EA5" w:rsidRPr="009C4D10">
                <w:rPr>
                  <w:rStyle w:val="ab"/>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52" w:name="_Toc198223638"/>
      <w:r>
        <w:t>Domain 6: Methane Abatement</w:t>
      </w:r>
      <w:bookmarkEnd w:id="52"/>
    </w:p>
    <w:p w14:paraId="144EDD37"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FC12E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5359B2" w14:textId="77777777" w:rsidR="001D459F" w:rsidRDefault="001D459F" w:rsidP="00874E39">
      <w:r>
        <w:separator/>
      </w:r>
    </w:p>
  </w:endnote>
  <w:endnote w:type="continuationSeparator" w:id="0">
    <w:p w14:paraId="21B46182" w14:textId="77777777" w:rsidR="001D459F" w:rsidRDefault="001D459F" w:rsidP="00874E39">
      <w:r>
        <w:continuationSeparator/>
      </w:r>
    </w:p>
  </w:endnote>
  <w:endnote w:type="continuationNotice" w:id="1">
    <w:p w14:paraId="40DAC82E" w14:textId="77777777" w:rsidR="001D459F" w:rsidRDefault="001D459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ＭＳ ゴシック">
    <w:altName w:val="MS Gothic"/>
    <w:panose1 w:val="020B0609070205080204"/>
    <w:charset w:val="80"/>
    <w:family w:val="modern"/>
    <w:pitch w:val="fixed"/>
    <w:sig w:usb0="E00002FF" w:usb1="6AC7FDFB" w:usb2="08000012"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5"/>
      </w:rPr>
      <w:id w:val="1861312571"/>
      <w:docPartObj>
        <w:docPartGallery w:val="Page Numbers (Bottom of Page)"/>
        <w:docPartUnique/>
      </w:docPartObj>
    </w:sdtPr>
    <w:sdtEndPr>
      <w:rPr>
        <w:rStyle w:val="af5"/>
      </w:rPr>
    </w:sdtEndPr>
    <w:sdtContent>
      <w:p w14:paraId="527773AC" w14:textId="740704FD" w:rsidR="00874E39" w:rsidRDefault="00874E39">
        <w:pPr>
          <w:pStyle w:val="af3"/>
          <w:framePr w:wrap="none" w:vAnchor="text" w:hAnchor="margin" w:xAlign="right" w:y="1"/>
          <w:rPr>
            <w:rStyle w:val="af5"/>
          </w:rPr>
        </w:pPr>
        <w:r>
          <w:rPr>
            <w:rStyle w:val="af5"/>
          </w:rPr>
          <w:fldChar w:fldCharType="begin"/>
        </w:r>
        <w:r>
          <w:rPr>
            <w:rStyle w:val="af5"/>
          </w:rPr>
          <w:instrText xml:space="preserve"> PAGE </w:instrText>
        </w:r>
        <w:r>
          <w:rPr>
            <w:rStyle w:val="af5"/>
          </w:rPr>
          <w:fldChar w:fldCharType="end"/>
        </w:r>
      </w:p>
    </w:sdtContent>
  </w:sdt>
  <w:p w14:paraId="772E9E2F" w14:textId="77777777" w:rsidR="00874E39" w:rsidRDefault="00874E39" w:rsidP="00874E39">
    <w:pPr>
      <w:pStyle w:val="af3"/>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af3"/>
      <w:framePr w:h="878" w:hRule="exact" w:wrap="none" w:vAnchor="text" w:hAnchor="margin" w:xAlign="right" w:y="139"/>
      <w:jc w:val="right"/>
      <w:rPr>
        <w:rStyle w:val="af5"/>
        <w:color w:val="18223E"/>
        <w:sz w:val="20"/>
        <w:szCs w:val="20"/>
      </w:rPr>
    </w:pPr>
  </w:p>
  <w:p w14:paraId="5C880F20" w14:textId="6C4E7FD0" w:rsidR="00874E39" w:rsidRPr="00041BB2" w:rsidRDefault="006D5605" w:rsidP="00E20574">
    <w:pPr>
      <w:pStyle w:val="af3"/>
      <w:framePr w:h="878" w:hRule="exact" w:wrap="none" w:vAnchor="text" w:hAnchor="margin" w:xAlign="right" w:y="139"/>
      <w:jc w:val="right"/>
      <w:rPr>
        <w:rStyle w:val="af5"/>
        <w:b/>
        <w:bCs/>
        <w:color w:val="18233F"/>
        <w:sz w:val="20"/>
        <w:szCs w:val="20"/>
      </w:rPr>
    </w:pPr>
    <w:r w:rsidRPr="00041BB2">
      <w:rPr>
        <w:rStyle w:val="af5"/>
        <w:b/>
        <w:bCs/>
        <w:color w:val="18233F"/>
        <w:sz w:val="20"/>
        <w:szCs w:val="20"/>
      </w:rPr>
      <w:t xml:space="preserve">Page </w:t>
    </w:r>
    <w:sdt>
      <w:sdtPr>
        <w:rPr>
          <w:rStyle w:val="af5"/>
          <w:b/>
          <w:bCs/>
          <w:color w:val="18233F"/>
          <w:sz w:val="20"/>
          <w:szCs w:val="20"/>
        </w:rPr>
        <w:id w:val="19443469"/>
        <w:docPartObj>
          <w:docPartGallery w:val="Page Numbers (Bottom of Page)"/>
          <w:docPartUnique/>
        </w:docPartObj>
      </w:sdtPr>
      <w:sdtEndPr>
        <w:rPr>
          <w:rStyle w:val="af5"/>
        </w:rPr>
      </w:sdtEndPr>
      <w:sdtContent>
        <w:r w:rsidR="00874E39" w:rsidRPr="00041BB2">
          <w:rPr>
            <w:rStyle w:val="af5"/>
            <w:b/>
            <w:bCs/>
            <w:color w:val="18233F"/>
            <w:sz w:val="20"/>
            <w:szCs w:val="20"/>
          </w:rPr>
          <w:fldChar w:fldCharType="begin"/>
        </w:r>
        <w:r w:rsidR="00874E39" w:rsidRPr="00041BB2">
          <w:rPr>
            <w:rStyle w:val="af5"/>
            <w:b/>
            <w:bCs/>
            <w:color w:val="18233F"/>
            <w:sz w:val="20"/>
            <w:szCs w:val="20"/>
          </w:rPr>
          <w:instrText xml:space="preserve"> PAGE </w:instrText>
        </w:r>
        <w:r w:rsidR="00874E39" w:rsidRPr="00041BB2">
          <w:rPr>
            <w:rStyle w:val="af5"/>
            <w:b/>
            <w:bCs/>
            <w:color w:val="18233F"/>
            <w:sz w:val="20"/>
            <w:szCs w:val="20"/>
          </w:rPr>
          <w:fldChar w:fldCharType="separate"/>
        </w:r>
        <w:r w:rsidR="00874E39" w:rsidRPr="00041BB2">
          <w:rPr>
            <w:rStyle w:val="af5"/>
            <w:b/>
            <w:bCs/>
            <w:color w:val="18233F"/>
            <w:sz w:val="20"/>
            <w:szCs w:val="20"/>
          </w:rPr>
          <w:t>18</w:t>
        </w:r>
        <w:r w:rsidR="00874E39" w:rsidRPr="00041BB2">
          <w:rPr>
            <w:rStyle w:val="af5"/>
            <w:b/>
            <w:bCs/>
            <w:color w:val="18233F"/>
            <w:sz w:val="20"/>
            <w:szCs w:val="20"/>
          </w:rPr>
          <w:fldChar w:fldCharType="end"/>
        </w:r>
      </w:sdtContent>
    </w:sdt>
  </w:p>
  <w:p w14:paraId="4CAE79EB" w14:textId="28D953BE" w:rsidR="00874E39" w:rsidRDefault="0043774D" w:rsidP="00874E39">
    <w:pPr>
      <w:pStyle w:val="af3"/>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af3"/>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C6636FC" id="Group 3" o:spid="_x0000_s1026" style="position:absolute;left:0;text-align:left;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C20E52" w14:textId="77777777" w:rsidR="001D459F" w:rsidRDefault="001D459F" w:rsidP="00874E39">
      <w:r>
        <w:separator/>
      </w:r>
    </w:p>
  </w:footnote>
  <w:footnote w:type="continuationSeparator" w:id="0">
    <w:p w14:paraId="4E7A48BA" w14:textId="77777777" w:rsidR="001D459F" w:rsidRDefault="001D459F" w:rsidP="00874E39">
      <w:r>
        <w:continuationSeparator/>
      </w:r>
    </w:p>
  </w:footnote>
  <w:footnote w:type="continuationNotice" w:id="1">
    <w:p w14:paraId="24232CD1" w14:textId="77777777" w:rsidR="001D459F" w:rsidRDefault="001D459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af7"/>
            <w:ind w:left="-115"/>
          </w:pPr>
        </w:p>
      </w:tc>
      <w:tc>
        <w:tcPr>
          <w:tcW w:w="3485" w:type="dxa"/>
        </w:tcPr>
        <w:p w14:paraId="04884984" w14:textId="3A1DF521" w:rsidR="6D73AD7A" w:rsidRDefault="6D73AD7A" w:rsidP="6D73AD7A">
          <w:pPr>
            <w:pStyle w:val="af7"/>
            <w:jc w:val="center"/>
          </w:pPr>
        </w:p>
      </w:tc>
      <w:tc>
        <w:tcPr>
          <w:tcW w:w="3485" w:type="dxa"/>
        </w:tcPr>
        <w:p w14:paraId="461B504B" w14:textId="710878DC" w:rsidR="6D73AD7A" w:rsidRDefault="6D73AD7A" w:rsidP="6D73AD7A">
          <w:pPr>
            <w:pStyle w:val="af7"/>
            <w:ind w:right="-115"/>
            <w:jc w:val="right"/>
          </w:pPr>
        </w:p>
      </w:tc>
    </w:tr>
  </w:tbl>
  <w:p w14:paraId="4E3F7338" w14:textId="24652282" w:rsidR="00345B1A" w:rsidRDefault="00345B1A">
    <w:pPr>
      <w:pStyle w:val="af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af7"/>
            <w:ind w:left="-115"/>
          </w:pPr>
        </w:p>
      </w:tc>
      <w:tc>
        <w:tcPr>
          <w:tcW w:w="3485" w:type="dxa"/>
        </w:tcPr>
        <w:p w14:paraId="1A6A8504" w14:textId="77777777" w:rsidR="00AA4965" w:rsidRDefault="00AA4965" w:rsidP="6D73AD7A">
          <w:pPr>
            <w:pStyle w:val="af7"/>
            <w:jc w:val="center"/>
          </w:pPr>
        </w:p>
      </w:tc>
      <w:tc>
        <w:tcPr>
          <w:tcW w:w="3485" w:type="dxa"/>
        </w:tcPr>
        <w:p w14:paraId="037D9CBC" w14:textId="77777777" w:rsidR="00AA4965" w:rsidRDefault="00AA4965" w:rsidP="6D73AD7A">
          <w:pPr>
            <w:pStyle w:val="af7"/>
            <w:ind w:right="-115"/>
            <w:jc w:val="right"/>
          </w:pPr>
        </w:p>
      </w:tc>
    </w:tr>
  </w:tbl>
  <w:p w14:paraId="6739A47D" w14:textId="77777777" w:rsidR="00696548" w:rsidRDefault="00696548">
    <w:pPr>
      <w:pStyle w:val="af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1C0F89"/>
    <w:multiLevelType w:val="hybridMultilevel"/>
    <w:tmpl w:val="3D2AE2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B9228B5"/>
    <w:multiLevelType w:val="hybridMultilevel"/>
    <w:tmpl w:val="AAEC9B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BDD3C22"/>
    <w:multiLevelType w:val="hybridMultilevel"/>
    <w:tmpl w:val="3828C0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1" w15:restartNumberingAfterBreak="0">
    <w:nsid w:val="7939480F"/>
    <w:multiLevelType w:val="hybridMultilevel"/>
    <w:tmpl w:val="8B34AA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3"/>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50"/>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5"/>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7"/>
  </w:num>
  <w:num w:numId="25" w16cid:durableId="1659531047">
    <w:abstractNumId w:val="46"/>
  </w:num>
  <w:num w:numId="26" w16cid:durableId="752774403">
    <w:abstractNumId w:val="23"/>
  </w:num>
  <w:num w:numId="27" w16cid:durableId="347872198">
    <w:abstractNumId w:val="6"/>
  </w:num>
  <w:num w:numId="28" w16cid:durableId="537133110">
    <w:abstractNumId w:val="12"/>
  </w:num>
  <w:num w:numId="29" w16cid:durableId="1632318729">
    <w:abstractNumId w:val="48"/>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2"/>
  </w:num>
  <w:num w:numId="46" w16cid:durableId="947811845">
    <w:abstractNumId w:val="49"/>
  </w:num>
  <w:num w:numId="47" w16cid:durableId="342588554">
    <w:abstractNumId w:val="26"/>
  </w:num>
  <w:num w:numId="48" w16cid:durableId="318391343">
    <w:abstractNumId w:val="37"/>
  </w:num>
  <w:num w:numId="49" w16cid:durableId="1728995463">
    <w:abstractNumId w:val="51"/>
  </w:num>
  <w:num w:numId="50" w16cid:durableId="1238710397">
    <w:abstractNumId w:val="41"/>
  </w:num>
  <w:num w:numId="51" w16cid:durableId="45109629">
    <w:abstractNumId w:val="44"/>
  </w:num>
  <w:num w:numId="52" w16cid:durableId="1832018488">
    <w:abstractNumId w:val="2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72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1711B"/>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49FE"/>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3D62"/>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2B8"/>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459F"/>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50E"/>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87CED"/>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2B37"/>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5564"/>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117"/>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5DAC"/>
    <w:rsid w:val="005F7A89"/>
    <w:rsid w:val="005F7AC4"/>
    <w:rsid w:val="00601397"/>
    <w:rsid w:val="006020C9"/>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119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07F"/>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55CD"/>
    <w:rsid w:val="0078610D"/>
    <w:rsid w:val="007866CF"/>
    <w:rsid w:val="00786AC9"/>
    <w:rsid w:val="00786EC4"/>
    <w:rsid w:val="00791ED5"/>
    <w:rsid w:val="00792AC3"/>
    <w:rsid w:val="007936B2"/>
    <w:rsid w:val="007936C6"/>
    <w:rsid w:val="007939C4"/>
    <w:rsid w:val="007946E1"/>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1D3A"/>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2E4"/>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2F1"/>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B18"/>
    <w:rsid w:val="00AE7C5F"/>
    <w:rsid w:val="00AF08A8"/>
    <w:rsid w:val="00AF2019"/>
    <w:rsid w:val="00AF26B7"/>
    <w:rsid w:val="00AF30FD"/>
    <w:rsid w:val="00AF3905"/>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934"/>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4652"/>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4D4E"/>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0FA"/>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2368"/>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DCC"/>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0942"/>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5FE"/>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0C27"/>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1857"/>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42B"/>
    <w:rsid w:val="00FA38D8"/>
    <w:rsid w:val="00FA4B8D"/>
    <w:rsid w:val="00FA6DED"/>
    <w:rsid w:val="00FA76DF"/>
    <w:rsid w:val="00FA78EA"/>
    <w:rsid w:val="00FB5A70"/>
    <w:rsid w:val="00FC0689"/>
    <w:rsid w:val="00FC12E5"/>
    <w:rsid w:val="00FC13F0"/>
    <w:rsid w:val="00FC337B"/>
    <w:rsid w:val="00FC5AA7"/>
    <w:rsid w:val="00FC6E48"/>
    <w:rsid w:val="00FD0439"/>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005046"/>
    <w:rPr>
      <w:rFonts w:eastAsiaTheme="majorEastAsia" w:cstheme="majorBidi"/>
      <w:b/>
      <w:color w:val="142541"/>
      <w:sz w:val="40"/>
      <w:szCs w:val="40"/>
    </w:rPr>
  </w:style>
  <w:style w:type="character" w:customStyle="1" w:styleId="20">
    <w:name w:val="見出し 2 (文字)"/>
    <w:basedOn w:val="a0"/>
    <w:link w:val="2"/>
    <w:uiPriority w:val="9"/>
    <w:rsid w:val="00576C68"/>
    <w:rPr>
      <w:rFonts w:eastAsiaTheme="majorEastAsia" w:cstheme="majorBidi"/>
      <w:b/>
      <w:color w:val="304E88"/>
      <w:sz w:val="32"/>
      <w:szCs w:val="32"/>
    </w:rPr>
  </w:style>
  <w:style w:type="character" w:customStyle="1" w:styleId="30">
    <w:name w:val="見出し 3 (文字)"/>
    <w:basedOn w:val="a0"/>
    <w:link w:val="3"/>
    <w:uiPriority w:val="9"/>
    <w:rsid w:val="001206CE"/>
    <w:rPr>
      <w:rFonts w:eastAsiaTheme="majorEastAsia" w:cstheme="majorBidi"/>
      <w:color w:val="2F5496" w:themeColor="accent1" w:themeShade="BF"/>
      <w:sz w:val="28"/>
      <w:szCs w:val="28"/>
    </w:rPr>
  </w:style>
  <w:style w:type="character" w:customStyle="1" w:styleId="40">
    <w:name w:val="見出し 4 (文字)"/>
    <w:basedOn w:val="a0"/>
    <w:link w:val="4"/>
    <w:uiPriority w:val="9"/>
    <w:rsid w:val="001206CE"/>
    <w:rPr>
      <w:rFonts w:eastAsiaTheme="majorEastAsia" w:cstheme="majorBidi"/>
      <w:i/>
      <w:iCs/>
      <w:color w:val="2F5496" w:themeColor="accent1" w:themeShade="BF"/>
    </w:rPr>
  </w:style>
  <w:style w:type="character" w:customStyle="1" w:styleId="50">
    <w:name w:val="見出し 5 (文字)"/>
    <w:basedOn w:val="a0"/>
    <w:link w:val="5"/>
    <w:uiPriority w:val="9"/>
    <w:semiHidden/>
    <w:rsid w:val="001206CE"/>
    <w:rPr>
      <w:rFonts w:eastAsiaTheme="majorEastAsia" w:cstheme="majorBidi"/>
      <w:color w:val="2F5496" w:themeColor="accent1" w:themeShade="BF"/>
    </w:rPr>
  </w:style>
  <w:style w:type="character" w:customStyle="1" w:styleId="60">
    <w:name w:val="見出し 6 (文字)"/>
    <w:basedOn w:val="a0"/>
    <w:link w:val="6"/>
    <w:uiPriority w:val="9"/>
    <w:semiHidden/>
    <w:rsid w:val="001206CE"/>
    <w:rPr>
      <w:rFonts w:eastAsiaTheme="majorEastAsia" w:cstheme="majorBidi"/>
      <w:i/>
      <w:iCs/>
      <w:color w:val="595959" w:themeColor="text1" w:themeTint="A6"/>
    </w:rPr>
  </w:style>
  <w:style w:type="character" w:customStyle="1" w:styleId="70">
    <w:name w:val="見出し 7 (文字)"/>
    <w:basedOn w:val="a0"/>
    <w:link w:val="7"/>
    <w:uiPriority w:val="9"/>
    <w:semiHidden/>
    <w:rsid w:val="001206CE"/>
    <w:rPr>
      <w:rFonts w:eastAsiaTheme="majorEastAsia" w:cstheme="majorBidi"/>
      <w:color w:val="595959" w:themeColor="text1" w:themeTint="A6"/>
    </w:rPr>
  </w:style>
  <w:style w:type="character" w:customStyle="1" w:styleId="80">
    <w:name w:val="見出し 8 (文字)"/>
    <w:basedOn w:val="a0"/>
    <w:link w:val="8"/>
    <w:uiPriority w:val="9"/>
    <w:semiHidden/>
    <w:rsid w:val="001206CE"/>
    <w:rPr>
      <w:rFonts w:eastAsiaTheme="majorEastAsia" w:cstheme="majorBidi"/>
      <w:i/>
      <w:iCs/>
      <w:color w:val="272727" w:themeColor="text1" w:themeTint="D8"/>
    </w:rPr>
  </w:style>
  <w:style w:type="character" w:customStyle="1" w:styleId="90">
    <w:name w:val="見出し 9 (文字)"/>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題 (文字)"/>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文 (文字)"/>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21">
    <w:name w:val="Intense Emphasis"/>
    <w:basedOn w:val="a0"/>
    <w:uiPriority w:val="21"/>
    <w:qFormat/>
    <w:rsid w:val="001206CE"/>
    <w:rPr>
      <w:i/>
      <w:iCs/>
      <w:color w:val="2F5496" w:themeColor="accent1" w:themeShade="BF"/>
    </w:rPr>
  </w:style>
  <w:style w:type="paragraph" w:styleId="22">
    <w:name w:val="Intense Quote"/>
    <w:basedOn w:val="a"/>
    <w:next w:val="a"/>
    <w:link w:val="23"/>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23">
    <w:name w:val="引用文 2 (文字)"/>
    <w:basedOn w:val="a0"/>
    <w:link w:val="22"/>
    <w:uiPriority w:val="30"/>
    <w:rsid w:val="001206CE"/>
    <w:rPr>
      <w:i/>
      <w:iCs/>
      <w:color w:val="2F5496" w:themeColor="accent1" w:themeShade="BF"/>
    </w:rPr>
  </w:style>
  <w:style w:type="character" w:styleId="24">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styleId="ac">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d">
    <w:name w:val="annotation reference"/>
    <w:basedOn w:val="a0"/>
    <w:uiPriority w:val="99"/>
    <w:semiHidden/>
    <w:unhideWhenUsed/>
    <w:rsid w:val="00A301E4"/>
    <w:rPr>
      <w:sz w:val="16"/>
      <w:szCs w:val="16"/>
    </w:rPr>
  </w:style>
  <w:style w:type="paragraph" w:styleId="ae">
    <w:name w:val="annotation text"/>
    <w:basedOn w:val="a"/>
    <w:link w:val="af"/>
    <w:uiPriority w:val="99"/>
    <w:unhideWhenUsed/>
    <w:rsid w:val="00A301E4"/>
    <w:rPr>
      <w:sz w:val="20"/>
      <w:szCs w:val="20"/>
    </w:rPr>
  </w:style>
  <w:style w:type="character" w:customStyle="1" w:styleId="af">
    <w:name w:val="コメント文字列 (文字)"/>
    <w:basedOn w:val="a0"/>
    <w:link w:val="ae"/>
    <w:uiPriority w:val="99"/>
    <w:rsid w:val="00A301E4"/>
    <w:rPr>
      <w:sz w:val="20"/>
      <w:szCs w:val="20"/>
    </w:rPr>
  </w:style>
  <w:style w:type="paragraph" w:styleId="af0">
    <w:name w:val="annotation subject"/>
    <w:basedOn w:val="ae"/>
    <w:next w:val="ae"/>
    <w:link w:val="af1"/>
    <w:uiPriority w:val="99"/>
    <w:semiHidden/>
    <w:unhideWhenUsed/>
    <w:rsid w:val="00A301E4"/>
    <w:rPr>
      <w:b/>
      <w:bCs/>
    </w:rPr>
  </w:style>
  <w:style w:type="character" w:customStyle="1" w:styleId="af1">
    <w:name w:val="コメント内容 (文字)"/>
    <w:basedOn w:val="af"/>
    <w:link w:val="af0"/>
    <w:uiPriority w:val="99"/>
    <w:semiHidden/>
    <w:rsid w:val="00A301E4"/>
    <w:rPr>
      <w:b/>
      <w:bCs/>
      <w:sz w:val="20"/>
      <w:szCs w:val="20"/>
    </w:rPr>
  </w:style>
  <w:style w:type="paragraph" w:styleId="11">
    <w:name w:val="toc 1"/>
    <w:basedOn w:val="a"/>
    <w:next w:val="a"/>
    <w:autoRedefine/>
    <w:uiPriority w:val="39"/>
    <w:unhideWhenUsed/>
    <w:rsid w:val="005F3137"/>
    <w:pPr>
      <w:spacing w:after="100"/>
    </w:pPr>
  </w:style>
  <w:style w:type="paragraph" w:styleId="25">
    <w:name w:val="toc 2"/>
    <w:basedOn w:val="a"/>
    <w:next w:val="a"/>
    <w:autoRedefine/>
    <w:uiPriority w:val="39"/>
    <w:unhideWhenUsed/>
    <w:rsid w:val="008F31B3"/>
    <w:pPr>
      <w:spacing w:after="100"/>
      <w:ind w:left="240"/>
    </w:pPr>
  </w:style>
  <w:style w:type="paragraph" w:styleId="af2">
    <w:name w:val="Revision"/>
    <w:hidden/>
    <w:uiPriority w:val="99"/>
    <w:semiHidden/>
    <w:rsid w:val="00741AA1"/>
  </w:style>
  <w:style w:type="numbering" w:customStyle="1" w:styleId="Multipunch">
    <w:name w:val="Multi punch"/>
    <w:rsid w:val="006225F1"/>
    <w:pPr>
      <w:numPr>
        <w:numId w:val="47"/>
      </w:numPr>
    </w:pPr>
  </w:style>
  <w:style w:type="paragraph" w:styleId="31">
    <w:name w:val="toc 3"/>
    <w:basedOn w:val="a"/>
    <w:next w:val="a"/>
    <w:autoRedefine/>
    <w:uiPriority w:val="39"/>
    <w:unhideWhenUsed/>
    <w:rsid w:val="00DA420C"/>
    <w:pPr>
      <w:spacing w:after="100"/>
      <w:ind w:left="480"/>
    </w:pPr>
  </w:style>
  <w:style w:type="paragraph" w:styleId="af3">
    <w:name w:val="footer"/>
    <w:basedOn w:val="a"/>
    <w:link w:val="af4"/>
    <w:uiPriority w:val="99"/>
    <w:unhideWhenUsed/>
    <w:rsid w:val="00874E39"/>
    <w:pPr>
      <w:tabs>
        <w:tab w:val="center" w:pos="4513"/>
        <w:tab w:val="right" w:pos="9026"/>
      </w:tabs>
    </w:pPr>
  </w:style>
  <w:style w:type="character" w:customStyle="1" w:styleId="af4">
    <w:name w:val="フッター (文字)"/>
    <w:basedOn w:val="a0"/>
    <w:link w:val="af3"/>
    <w:uiPriority w:val="99"/>
    <w:rsid w:val="00874E39"/>
  </w:style>
  <w:style w:type="character" w:styleId="af5">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6">
    <w:name w:val="FollowedHyperlink"/>
    <w:basedOn w:val="a0"/>
    <w:uiPriority w:val="99"/>
    <w:semiHidden/>
    <w:unhideWhenUsed/>
    <w:rsid w:val="00702413"/>
    <w:rPr>
      <w:color w:val="800080"/>
      <w:u w:val="single"/>
    </w:rPr>
  </w:style>
  <w:style w:type="paragraph" w:styleId="af7">
    <w:name w:val="header"/>
    <w:basedOn w:val="a"/>
    <w:link w:val="af8"/>
    <w:uiPriority w:val="99"/>
    <w:unhideWhenUsed/>
    <w:rsid w:val="00E603D8"/>
    <w:pPr>
      <w:tabs>
        <w:tab w:val="center" w:pos="4680"/>
        <w:tab w:val="right" w:pos="9360"/>
      </w:tabs>
    </w:pPr>
  </w:style>
  <w:style w:type="character" w:customStyle="1" w:styleId="af8">
    <w:name w:val="ヘッダー (文字)"/>
    <w:basedOn w:val="a0"/>
    <w:link w:val="af7"/>
    <w:uiPriority w:val="99"/>
    <w:rsid w:val="00E603D8"/>
  </w:style>
  <w:style w:type="character" w:styleId="af9">
    <w:name w:val="Mention"/>
    <w:basedOn w:val="a0"/>
    <w:uiPriority w:val="99"/>
    <w:unhideWhenUsed/>
    <w:rsid w:val="00406643"/>
    <w:rPr>
      <w:color w:val="2B579A"/>
      <w:shd w:val="clear" w:color="auto" w:fill="E1DFDD"/>
    </w:rPr>
  </w:style>
  <w:style w:type="paragraph" w:styleId="af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132254">
      <w:bodyDiv w:val="1"/>
      <w:marLeft w:val="0"/>
      <w:marRight w:val="0"/>
      <w:marTop w:val="0"/>
      <w:marBottom w:val="0"/>
      <w:divBdr>
        <w:top w:val="none" w:sz="0" w:space="0" w:color="auto"/>
        <w:left w:val="none" w:sz="0" w:space="0" w:color="auto"/>
        <w:bottom w:val="none" w:sz="0" w:space="0" w:color="auto"/>
        <w:right w:val="none" w:sz="0" w:space="0" w:color="auto"/>
      </w:divBdr>
    </w:div>
    <w:div w:id="130368312">
      <w:bodyDiv w:val="1"/>
      <w:marLeft w:val="0"/>
      <w:marRight w:val="0"/>
      <w:marTop w:val="0"/>
      <w:marBottom w:val="0"/>
      <w:divBdr>
        <w:top w:val="none" w:sz="0" w:space="0" w:color="auto"/>
        <w:left w:val="none" w:sz="0" w:space="0" w:color="auto"/>
        <w:bottom w:val="none" w:sz="0" w:space="0" w:color="auto"/>
        <w:right w:val="none" w:sz="0" w:space="0" w:color="auto"/>
      </w:divBdr>
    </w:div>
    <w:div w:id="289016365">
      <w:bodyDiv w:val="1"/>
      <w:marLeft w:val="0"/>
      <w:marRight w:val="0"/>
      <w:marTop w:val="0"/>
      <w:marBottom w:val="0"/>
      <w:divBdr>
        <w:top w:val="none" w:sz="0" w:space="0" w:color="auto"/>
        <w:left w:val="none" w:sz="0" w:space="0" w:color="auto"/>
        <w:bottom w:val="none" w:sz="0" w:space="0" w:color="auto"/>
        <w:right w:val="none" w:sz="0" w:space="0" w:color="auto"/>
      </w:divBdr>
    </w:div>
    <w:div w:id="332102809">
      <w:bodyDiv w:val="1"/>
      <w:marLeft w:val="0"/>
      <w:marRight w:val="0"/>
      <w:marTop w:val="0"/>
      <w:marBottom w:val="0"/>
      <w:divBdr>
        <w:top w:val="none" w:sz="0" w:space="0" w:color="auto"/>
        <w:left w:val="none" w:sz="0" w:space="0" w:color="auto"/>
        <w:bottom w:val="none" w:sz="0" w:space="0" w:color="auto"/>
        <w:right w:val="none" w:sz="0" w:space="0" w:color="auto"/>
      </w:divBdr>
    </w:div>
    <w:div w:id="550961688">
      <w:bodyDiv w:val="1"/>
      <w:marLeft w:val="0"/>
      <w:marRight w:val="0"/>
      <w:marTop w:val="0"/>
      <w:marBottom w:val="0"/>
      <w:divBdr>
        <w:top w:val="none" w:sz="0" w:space="0" w:color="auto"/>
        <w:left w:val="none" w:sz="0" w:space="0" w:color="auto"/>
        <w:bottom w:val="none" w:sz="0" w:space="0" w:color="auto"/>
        <w:right w:val="none" w:sz="0" w:space="0" w:color="auto"/>
      </w:divBdr>
    </w:div>
    <w:div w:id="55359051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79503280">
      <w:bodyDiv w:val="1"/>
      <w:marLeft w:val="0"/>
      <w:marRight w:val="0"/>
      <w:marTop w:val="0"/>
      <w:marBottom w:val="0"/>
      <w:divBdr>
        <w:top w:val="none" w:sz="0" w:space="0" w:color="auto"/>
        <w:left w:val="none" w:sz="0" w:space="0" w:color="auto"/>
        <w:bottom w:val="none" w:sz="0" w:space="0" w:color="auto"/>
        <w:right w:val="none" w:sz="0" w:space="0" w:color="auto"/>
      </w:divBdr>
    </w:div>
    <w:div w:id="744030466">
      <w:bodyDiv w:val="1"/>
      <w:marLeft w:val="0"/>
      <w:marRight w:val="0"/>
      <w:marTop w:val="0"/>
      <w:marBottom w:val="0"/>
      <w:divBdr>
        <w:top w:val="none" w:sz="0" w:space="0" w:color="auto"/>
        <w:left w:val="none" w:sz="0" w:space="0" w:color="auto"/>
        <w:bottom w:val="none" w:sz="0" w:space="0" w:color="auto"/>
        <w:right w:val="none" w:sz="0" w:space="0" w:color="auto"/>
      </w:divBdr>
    </w:div>
    <w:div w:id="771239824">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4658528">
      <w:bodyDiv w:val="1"/>
      <w:marLeft w:val="0"/>
      <w:marRight w:val="0"/>
      <w:marTop w:val="0"/>
      <w:marBottom w:val="0"/>
      <w:divBdr>
        <w:top w:val="none" w:sz="0" w:space="0" w:color="auto"/>
        <w:left w:val="none" w:sz="0" w:space="0" w:color="auto"/>
        <w:bottom w:val="none" w:sz="0" w:space="0" w:color="auto"/>
        <w:right w:val="none" w:sz="0" w:space="0" w:color="auto"/>
      </w:divBdr>
    </w:div>
    <w:div w:id="872884499">
      <w:bodyDiv w:val="1"/>
      <w:marLeft w:val="0"/>
      <w:marRight w:val="0"/>
      <w:marTop w:val="0"/>
      <w:marBottom w:val="0"/>
      <w:divBdr>
        <w:top w:val="none" w:sz="0" w:space="0" w:color="auto"/>
        <w:left w:val="none" w:sz="0" w:space="0" w:color="auto"/>
        <w:bottom w:val="none" w:sz="0" w:space="0" w:color="auto"/>
        <w:right w:val="none" w:sz="0" w:space="0" w:color="auto"/>
      </w:divBdr>
    </w:div>
    <w:div w:id="1002856115">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990336">
      <w:bodyDiv w:val="1"/>
      <w:marLeft w:val="0"/>
      <w:marRight w:val="0"/>
      <w:marTop w:val="0"/>
      <w:marBottom w:val="0"/>
      <w:divBdr>
        <w:top w:val="none" w:sz="0" w:space="0" w:color="auto"/>
        <w:left w:val="none" w:sz="0" w:space="0" w:color="auto"/>
        <w:bottom w:val="none" w:sz="0" w:space="0" w:color="auto"/>
        <w:right w:val="none" w:sz="0" w:space="0" w:color="auto"/>
      </w:divBdr>
    </w:div>
    <w:div w:id="1415937183">
      <w:bodyDiv w:val="1"/>
      <w:marLeft w:val="0"/>
      <w:marRight w:val="0"/>
      <w:marTop w:val="0"/>
      <w:marBottom w:val="0"/>
      <w:divBdr>
        <w:top w:val="none" w:sz="0" w:space="0" w:color="auto"/>
        <w:left w:val="none" w:sz="0" w:space="0" w:color="auto"/>
        <w:bottom w:val="none" w:sz="0" w:space="0" w:color="auto"/>
        <w:right w:val="none" w:sz="0" w:space="0" w:color="auto"/>
      </w:divBdr>
    </w:div>
    <w:div w:id="1705641744">
      <w:bodyDiv w:val="1"/>
      <w:marLeft w:val="0"/>
      <w:marRight w:val="0"/>
      <w:marTop w:val="0"/>
      <w:marBottom w:val="0"/>
      <w:divBdr>
        <w:top w:val="none" w:sz="0" w:space="0" w:color="auto"/>
        <w:left w:val="none" w:sz="0" w:space="0" w:color="auto"/>
        <w:bottom w:val="none" w:sz="0" w:space="0" w:color="auto"/>
        <w:right w:val="none" w:sz="0" w:space="0" w:color="auto"/>
      </w:divBdr>
    </w:div>
    <w:div w:id="180396060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49173048">
      <w:bodyDiv w:val="1"/>
      <w:marLeft w:val="0"/>
      <w:marRight w:val="0"/>
      <w:marTop w:val="0"/>
      <w:marBottom w:val="0"/>
      <w:divBdr>
        <w:top w:val="none" w:sz="0" w:space="0" w:color="auto"/>
        <w:left w:val="none" w:sz="0" w:space="0" w:color="auto"/>
        <w:bottom w:val="none" w:sz="0" w:space="0" w:color="auto"/>
        <w:right w:val="none" w:sz="0" w:space="0" w:color="auto"/>
      </w:divBdr>
    </w:div>
    <w:div w:id="1960912343">
      <w:bodyDiv w:val="1"/>
      <w:marLeft w:val="0"/>
      <w:marRight w:val="0"/>
      <w:marTop w:val="0"/>
      <w:marBottom w:val="0"/>
      <w:divBdr>
        <w:top w:val="none" w:sz="0" w:space="0" w:color="auto"/>
        <w:left w:val="none" w:sz="0" w:space="0" w:color="auto"/>
        <w:bottom w:val="none" w:sz="0" w:space="0" w:color="auto"/>
        <w:right w:val="none" w:sz="0" w:space="0" w:color="auto"/>
      </w:divBdr>
    </w:div>
    <w:div w:id="197810520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fsa.go.jp/singi/transition_finance/siryou/20230616/04.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102</Pages>
  <Words>23041</Words>
  <Characters>131334</Characters>
  <Application>Microsoft Office Word</Application>
  <DocSecurity>0</DocSecurity>
  <Lines>1094</Lines>
  <Paragraphs>308</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154067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AMT2</cp:lastModifiedBy>
  <cp:revision>2</cp:revision>
  <cp:lastPrinted>2025-03-21T00:14:00Z</cp:lastPrinted>
  <dcterms:created xsi:type="dcterms:W3CDTF">2025-08-12T08:18:00Z</dcterms:created>
  <dcterms:modified xsi:type="dcterms:W3CDTF">2025-08-12T08:18:00Z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